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CFD" w:rsidRDefault="00E811E3">
      <w:pPr>
        <w:pStyle w:val="FP"/>
        <w:tabs>
          <w:tab w:val="left" w:pos="567"/>
        </w:tabs>
        <w:snapToGrid w:val="0"/>
        <w:spacing w:line="264" w:lineRule="auto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WG1 Meeting #9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 R1-181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2176</w:t>
      </w:r>
    </w:p>
    <w:p w:rsidR="00033CFD" w:rsidRDefault="00E811E3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Spokane, USA</w:t>
      </w:r>
      <w:r>
        <w:rPr>
          <w:rFonts w:ascii="Arial" w:hAnsi="Arial" w:cs="Arial" w:hint="eastAsia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November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, 201</w:t>
      </w:r>
      <w:r>
        <w:rPr>
          <w:rFonts w:ascii="Arial" w:hAnsi="Arial" w:cs="Arial" w:hint="eastAsia"/>
          <w:b/>
          <w:bCs/>
          <w:sz w:val="24"/>
          <w:szCs w:val="24"/>
        </w:rPr>
        <w:t>8</w:t>
      </w:r>
    </w:p>
    <w:p w:rsidR="00033CFD" w:rsidRDefault="00033CFD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ja-JP"/>
        </w:rPr>
      </w:pPr>
    </w:p>
    <w:p w:rsidR="00033CFD" w:rsidRDefault="00E811E3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  <w:lang w:eastAsia="zh-CN"/>
        </w:rPr>
        <w:t xml:space="preserve">       </w:t>
      </w:r>
      <w:r>
        <w:rPr>
          <w:rFonts w:ascii="Arial" w:hAnsi="Arial" w:cs="Arial"/>
          <w:b/>
          <w:bCs/>
        </w:rPr>
        <w:t>ZTE</w:t>
      </w:r>
    </w:p>
    <w:p w:rsidR="00033CFD" w:rsidRDefault="00E811E3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 xml:space="preserve">Title:  </w:t>
      </w:r>
      <w:r>
        <w:rPr>
          <w:rFonts w:ascii="Arial" w:hAnsi="Arial" w:cs="Arial"/>
          <w:b/>
          <w:bCs/>
          <w:lang w:eastAsia="zh-CN"/>
        </w:rPr>
        <w:t xml:space="preserve">        </w:t>
      </w:r>
      <w:r>
        <w:rPr>
          <w:rFonts w:ascii="Arial" w:hAnsi="Arial" w:cs="Arial" w:hint="eastAsia"/>
          <w:b/>
          <w:bCs/>
          <w:lang w:eastAsia="zh-CN"/>
        </w:rPr>
        <w:t>Additional link-level simulation results for NOMA</w:t>
      </w:r>
    </w:p>
    <w:p w:rsidR="00033CFD" w:rsidRDefault="00E811E3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 xml:space="preserve">Agenda item:  </w:t>
      </w:r>
      <w:r>
        <w:rPr>
          <w:rFonts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/>
          <w:b/>
          <w:bCs/>
          <w:lang w:val="en-US" w:eastAsia="zh-CN"/>
        </w:rPr>
        <w:t>2.1.5</w:t>
      </w:r>
    </w:p>
    <w:p w:rsidR="00033CFD" w:rsidRDefault="00E811E3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 xml:space="preserve">Document for: Discussion and </w:t>
      </w:r>
      <w:r>
        <w:rPr>
          <w:rFonts w:ascii="Arial" w:hAnsi="Arial" w:cs="Arial"/>
          <w:b/>
          <w:bCs/>
        </w:rPr>
        <w:t>Decision</w:t>
      </w:r>
    </w:p>
    <w:p w:rsidR="00033CFD" w:rsidRDefault="00E811E3" w:rsidP="00E811E3">
      <w:pPr>
        <w:pStyle w:val="Heading1"/>
        <w:tabs>
          <w:tab w:val="clear" w:pos="612"/>
          <w:tab w:val="left" w:pos="540"/>
        </w:tabs>
        <w:snapToGrid w:val="0"/>
        <w:spacing w:before="120" w:after="120" w:line="264" w:lineRule="auto"/>
        <w:ind w:left="446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/>
          <w:sz w:val="32"/>
          <w:szCs w:val="32"/>
          <w:lang w:eastAsia="zh-CN"/>
        </w:rPr>
        <w:t>Background</w:t>
      </w:r>
    </w:p>
    <w:p w:rsidR="00033CFD" w:rsidRDefault="00E811E3" w:rsidP="00E811E3">
      <w:pPr>
        <w:pStyle w:val="CommentText"/>
        <w:snapToGrid w:val="0"/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 xml:space="preserve">In the previous meeting, the </w:t>
      </w:r>
      <w:r>
        <w:rPr>
          <w:rFonts w:eastAsia="SimSun"/>
          <w:lang w:eastAsia="zh-CN"/>
        </w:rPr>
        <w:t>performance</w:t>
      </w:r>
      <w:r>
        <w:rPr>
          <w:rFonts w:eastAsia="SimSun" w:hint="eastAsia"/>
          <w:lang w:eastAsia="zh-CN"/>
        </w:rPr>
        <w:t xml:space="preserve"> m</w:t>
      </w:r>
      <w:r>
        <w:rPr>
          <w:rFonts w:eastAsia="SimSun"/>
          <w:lang w:eastAsia="zh-CN"/>
        </w:rPr>
        <w:t xml:space="preserve">etric and simulation assumption were agreed </w:t>
      </w:r>
      <w:r w:rsidR="00033CFD">
        <w:fldChar w:fldCharType="begin"/>
      </w:r>
      <w:r>
        <w:instrText xml:space="preserve"> REF _Ref510733273 \r \h  \* MERGEFORMAT </w:instrText>
      </w:r>
      <w:r w:rsidR="00033CFD">
        <w:fldChar w:fldCharType="separate"/>
      </w:r>
      <w:r>
        <w:rPr>
          <w:rFonts w:eastAsia="SimSun"/>
          <w:lang w:val="en-US" w:eastAsia="zh-CN"/>
        </w:rPr>
        <w:t>[1</w:t>
      </w:r>
      <w:proofErr w:type="gramStart"/>
      <w:r>
        <w:rPr>
          <w:rFonts w:eastAsia="SimSun"/>
          <w:lang w:val="en-US" w:eastAsia="zh-CN"/>
        </w:rPr>
        <w:t>]</w:t>
      </w:r>
      <w:proofErr w:type="gramEnd"/>
      <w:r w:rsidR="00033CFD">
        <w:fldChar w:fldCharType="end"/>
      </w:r>
      <w:fldSimple w:instr=" REF _Ref513570227 \r \h  \* MERGEFORMAT ">
        <w:r>
          <w:rPr>
            <w:rFonts w:eastAsia="SimSun"/>
            <w:lang w:val="en-US" w:eastAsia="zh-CN"/>
          </w:rPr>
          <w:t>[2]</w:t>
        </w:r>
      </w:fldSimple>
      <w:r>
        <w:rPr>
          <w:rFonts w:eastAsia="SimSun"/>
          <w:lang w:val="en-US" w:eastAsia="zh-CN"/>
        </w:rPr>
        <w:t xml:space="preserve">. </w:t>
      </w:r>
      <w:r>
        <w:rPr>
          <w:rFonts w:eastAsiaTheme="minorEastAsia"/>
          <w:lang w:eastAsia="zh-CN"/>
        </w:rPr>
        <w:t xml:space="preserve">Agreement on </w:t>
      </w:r>
      <w:r>
        <w:rPr>
          <w:rFonts w:eastAsiaTheme="minorEastAsia" w:hint="eastAsia"/>
          <w:lang w:val="en-US" w:eastAsia="zh-CN"/>
        </w:rPr>
        <w:t>#94bis meeting</w:t>
      </w:r>
      <w:r>
        <w:rPr>
          <w:rFonts w:eastAsiaTheme="minorEastAsia"/>
          <w:lang w:eastAsia="zh-CN"/>
        </w:rPr>
        <w:t xml:space="preserve"> and</w:t>
      </w:r>
      <w:r>
        <w:rPr>
          <w:rFonts w:eastAsiaTheme="minorEastAsia" w:hint="eastAsia"/>
          <w:lang w:val="en-US" w:eastAsia="zh-CN"/>
        </w:rPr>
        <w:t xml:space="preserve"> email discussion on</w:t>
      </w:r>
      <w:r>
        <w:rPr>
          <w:rFonts w:eastAsiaTheme="minorEastAsia"/>
          <w:lang w:eastAsia="zh-CN"/>
        </w:rPr>
        <w:t xml:space="preserve"> the assumption of the four newly added cases (32~</w:t>
      </w: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/>
          <w:lang w:eastAsia="zh-CN"/>
        </w:rPr>
        <w:t>5)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are as follows</w:t>
      </w:r>
      <w:r>
        <w:rPr>
          <w:rFonts w:eastAsiaTheme="minorEastAsia"/>
          <w:lang w:eastAsia="zh-CN"/>
        </w:rPr>
        <w:t>:</w:t>
      </w:r>
    </w:p>
    <w:p w:rsidR="00033CFD" w:rsidRDefault="00E811E3" w:rsidP="00E811E3">
      <w:pPr>
        <w:pStyle w:val="ListParagraph"/>
        <w:overflowPunct w:val="0"/>
        <w:autoSpaceDE w:val="0"/>
        <w:autoSpaceDN w:val="0"/>
        <w:adjustRightInd w:val="0"/>
        <w:snapToGrid w:val="0"/>
        <w:spacing w:before="120" w:afterLines="10"/>
        <w:ind w:leftChars="0" w:left="0" w:firstLine="0"/>
        <w:textAlignment w:val="baseline"/>
        <w:rPr>
          <w:rFonts w:eastAsia="等线"/>
          <w:szCs w:val="20"/>
        </w:rPr>
      </w:pPr>
      <w:r>
        <w:rPr>
          <w:rFonts w:eastAsia="等线"/>
          <w:szCs w:val="20"/>
          <w:highlight w:val="green"/>
        </w:rPr>
        <w:t>Agreements</w:t>
      </w:r>
      <w:r>
        <w:rPr>
          <w:rFonts w:eastAsia="等线"/>
          <w:szCs w:val="20"/>
        </w:rPr>
        <w:t xml:space="preserve"> made in R1-1812095:</w:t>
      </w:r>
    </w:p>
    <w:p w:rsidR="00033CFD" w:rsidRDefault="00E811E3" w:rsidP="00E811E3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before="120" w:afterLines="10"/>
        <w:ind w:leftChars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The following options of SNR distribution can be considered for case 32-35, </w:t>
      </w:r>
    </w:p>
    <w:p w:rsidR="00033CFD" w:rsidRDefault="00E811E3" w:rsidP="00E811E3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napToGrid w:val="0"/>
        <w:spacing w:before="120" w:afterLines="10"/>
        <w:ind w:leftChars="0"/>
        <w:textAlignment w:val="baseline"/>
        <w:rPr>
          <w:rFonts w:eastAsia="等线"/>
          <w:szCs w:val="20"/>
        </w:rPr>
      </w:pPr>
      <w:r>
        <w:rPr>
          <w:rFonts w:eastAsia="SimSun"/>
          <w:lang w:val="en-US"/>
        </w:rPr>
        <w:t>Opt 1: keep the current value with Gaussian distribution;</w:t>
      </w:r>
    </w:p>
    <w:p w:rsidR="00033CFD" w:rsidRDefault="00E811E3" w:rsidP="00E811E3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napToGrid w:val="0"/>
        <w:spacing w:before="120" w:afterLines="10"/>
        <w:ind w:leftChars="0"/>
        <w:textAlignment w:val="baseline"/>
        <w:rPr>
          <w:rFonts w:eastAsia="等线"/>
          <w:szCs w:val="20"/>
        </w:rPr>
      </w:pPr>
      <w:r>
        <w:rPr>
          <w:rFonts w:eastAsia="SimSun"/>
          <w:lang w:val="en-US"/>
        </w:rPr>
        <w:t xml:space="preserve">Opt 2: update 5dB to </w:t>
      </w:r>
      <w:r>
        <w:rPr>
          <w:rFonts w:eastAsia="SimSun" w:hint="eastAsia"/>
          <w:lang w:val="en-US"/>
        </w:rPr>
        <w:t>[</w:t>
      </w:r>
      <w:r>
        <w:rPr>
          <w:rFonts w:eastAsia="SimSun"/>
          <w:lang w:val="en-US"/>
        </w:rPr>
        <w:t xml:space="preserve">9]dB for case 32 and 34; </w:t>
      </w:r>
    </w:p>
    <w:p w:rsidR="00033CFD" w:rsidRDefault="00E811E3" w:rsidP="00E811E3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napToGrid w:val="0"/>
        <w:spacing w:before="120" w:afterLines="10"/>
        <w:ind w:leftChars="0"/>
        <w:textAlignment w:val="baseline"/>
        <w:rPr>
          <w:rFonts w:eastAsia="等线"/>
          <w:szCs w:val="20"/>
        </w:rPr>
      </w:pPr>
      <w:r>
        <w:rPr>
          <w:rFonts w:eastAsia="SimSun"/>
          <w:lang w:val="en-US"/>
        </w:rPr>
        <w:t xml:space="preserve">Opt 3: use CDF statistics in SLS; </w:t>
      </w:r>
    </w:p>
    <w:p w:rsidR="00033CFD" w:rsidRDefault="00E811E3" w:rsidP="00E811E3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napToGrid w:val="0"/>
        <w:spacing w:before="120" w:afterLines="50"/>
        <w:ind w:leftChars="0" w:left="836" w:hanging="418"/>
        <w:textAlignment w:val="baseline"/>
        <w:rPr>
          <w:rFonts w:eastAsia="等线"/>
          <w:szCs w:val="20"/>
        </w:rPr>
      </w:pPr>
      <w:r>
        <w:rPr>
          <w:rFonts w:eastAsia="SimSun"/>
          <w:lang w:val="en-US"/>
        </w:rPr>
        <w:t>Opt 4: mixed Gaussian and Deterministi</w:t>
      </w:r>
      <w:r>
        <w:rPr>
          <w:rFonts w:eastAsia="SimSun"/>
          <w:lang w:val="en-US"/>
        </w:rPr>
        <w:t>c</w:t>
      </w:r>
    </w:p>
    <w:p w:rsidR="00033CFD" w:rsidRDefault="00E811E3" w:rsidP="00E811E3">
      <w:pPr>
        <w:overflowPunct/>
        <w:autoSpaceDE/>
        <w:autoSpaceDN/>
        <w:snapToGrid w:val="0"/>
        <w:spacing w:afterLines="50" w:line="264" w:lineRule="auto"/>
        <w:textAlignment w:val="auto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val="en-US" w:eastAsia="zh-CN"/>
        </w:rPr>
        <w:t>I</w:t>
      </w:r>
      <w:r>
        <w:rPr>
          <w:rFonts w:eastAsia="SimSun"/>
          <w:sz w:val="20"/>
          <w:lang w:val="en-US" w:eastAsia="zh-CN"/>
        </w:rPr>
        <w:t xml:space="preserve">n this contribution, link-level evaluation results for the QAM-sequence based symbol-level spreading scheme (MUSA) based on the agreed LLS assumptions are presented. Both MMSE hard-SIC receiver and EPA are considered for corresponding cases. Some </w:t>
      </w:r>
      <w:r>
        <w:rPr>
          <w:rFonts w:eastAsia="SimSun"/>
          <w:sz w:val="20"/>
          <w:lang w:val="en-US" w:eastAsia="zh-CN"/>
        </w:rPr>
        <w:t>results for EPA-based SCMA are also provided. All results are included in the attached excel following the format of Template-1.</w:t>
      </w:r>
    </w:p>
    <w:p w:rsidR="00033CFD" w:rsidRDefault="00E811E3">
      <w:pPr>
        <w:pStyle w:val="Heading1"/>
        <w:pBdr>
          <w:top w:val="single" w:sz="12" w:space="13" w:color="auto"/>
        </w:pBdr>
        <w:snapToGrid w:val="0"/>
        <w:spacing w:before="0" w:after="120" w:line="264" w:lineRule="auto"/>
        <w:ind w:left="619" w:hanging="619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Additional link-level evaluation results for MUSA</w:t>
      </w:r>
    </w:p>
    <w:p w:rsidR="00033CFD" w:rsidRDefault="00E811E3" w:rsidP="00E811E3">
      <w:pPr>
        <w:snapToGrid w:val="0"/>
        <w:spacing w:afterLines="50" w:line="240" w:lineRule="auto"/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For the mMTC/URLLC and </w:t>
      </w:r>
      <w:proofErr w:type="spellStart"/>
      <w:r>
        <w:rPr>
          <w:rFonts w:eastAsia="SimSun"/>
          <w:sz w:val="20"/>
          <w:lang w:val="en-US" w:eastAsia="zh-CN"/>
        </w:rPr>
        <w:t>eMBB</w:t>
      </w:r>
      <w:proofErr w:type="spellEnd"/>
      <w:r>
        <w:rPr>
          <w:rFonts w:eastAsia="SimSun"/>
          <w:sz w:val="20"/>
          <w:lang w:val="en-US" w:eastAsia="zh-CN"/>
        </w:rPr>
        <w:t xml:space="preserve"> scenarios, typical cases listed in the aforementi</w:t>
      </w:r>
      <w:r>
        <w:rPr>
          <w:rFonts w:eastAsia="SimSun"/>
          <w:sz w:val="20"/>
          <w:lang w:val="en-US" w:eastAsia="zh-CN"/>
        </w:rPr>
        <w:t xml:space="preserve">oned Template 1 are evaluated with detailed assumptions shown in </w:t>
      </w:r>
      <w:fldSimple w:instr=" REF _Ref525893380 \h  \* MERGEFORMAT ">
        <w:r>
          <w:rPr>
            <w:sz w:val="20"/>
            <w:szCs w:val="20"/>
          </w:rPr>
          <w:t>Table 1</w:t>
        </w:r>
      </w:fldSimple>
      <w:r>
        <w:rPr>
          <w:rFonts w:eastAsia="SimSun"/>
          <w:sz w:val="20"/>
          <w:lang w:val="en-US" w:eastAsia="zh-CN"/>
        </w:rPr>
        <w:t xml:space="preserve"> in appendix. The spreading sequences, together with the TBS size, SF and modu</w:t>
      </w:r>
      <w:r>
        <w:rPr>
          <w:rFonts w:eastAsia="SimSun"/>
          <w:sz w:val="20"/>
          <w:lang w:val="en-US" w:eastAsia="zh-CN"/>
        </w:rPr>
        <w:t xml:space="preserve">lation order are elaborated in </w:t>
      </w:r>
      <w:r w:rsidR="00033CFD">
        <w:rPr>
          <w:rFonts w:eastAsia="SimSun"/>
          <w:sz w:val="20"/>
          <w:lang w:val="en-US" w:eastAsia="zh-CN"/>
        </w:rPr>
        <w:fldChar w:fldCharType="begin"/>
      </w:r>
      <w:r>
        <w:rPr>
          <w:rFonts w:eastAsia="SimSun"/>
          <w:sz w:val="20"/>
          <w:lang w:val="en-US" w:eastAsia="zh-CN"/>
        </w:rPr>
        <w:instrText xml:space="preserve"> REF _Ref525893712 \r \h </w:instrText>
      </w:r>
      <w:r w:rsidR="00033CFD">
        <w:rPr>
          <w:rFonts w:eastAsia="SimSun"/>
          <w:sz w:val="20"/>
          <w:lang w:val="en-US" w:eastAsia="zh-CN"/>
        </w:rPr>
      </w:r>
      <w:r w:rsidR="00033CFD">
        <w:rPr>
          <w:rFonts w:eastAsia="SimSun"/>
          <w:sz w:val="20"/>
          <w:lang w:val="en-US" w:eastAsia="zh-CN"/>
        </w:rPr>
        <w:fldChar w:fldCharType="separate"/>
      </w:r>
      <w:r>
        <w:rPr>
          <w:rFonts w:eastAsia="SimSun"/>
          <w:sz w:val="20"/>
          <w:lang w:val="en-US" w:eastAsia="zh-CN"/>
        </w:rPr>
        <w:t>[4]</w:t>
      </w:r>
      <w:r w:rsidR="00033CFD">
        <w:rPr>
          <w:rFonts w:eastAsia="SimSun"/>
          <w:sz w:val="20"/>
          <w:lang w:val="en-US" w:eastAsia="zh-CN"/>
        </w:rPr>
        <w:fldChar w:fldCharType="end"/>
      </w:r>
      <w:r>
        <w:rPr>
          <w:rFonts w:eastAsia="SimSun"/>
          <w:sz w:val="20"/>
          <w:lang w:val="en-US" w:eastAsia="zh-CN"/>
        </w:rPr>
        <w:t xml:space="preserve">. Single branch transmission per UE is conducted in this contribution. </w:t>
      </w:r>
    </w:p>
    <w:p w:rsidR="00033CFD" w:rsidRDefault="00E811E3" w:rsidP="00E811E3">
      <w:pPr>
        <w:snapToGrid w:val="0"/>
        <w:spacing w:afterLines="10"/>
        <w:rPr>
          <w:rFonts w:eastAsiaTheme="minorEastAsia"/>
          <w:lang w:val="en-US" w:eastAsia="zh-CN"/>
        </w:rPr>
      </w:pPr>
      <w:proofErr w:type="spellStart"/>
      <w:r>
        <w:rPr>
          <w:rFonts w:eastAsia="SimSun"/>
          <w:sz w:val="20"/>
          <w:lang w:val="en-US" w:eastAsia="zh-CN"/>
        </w:rPr>
        <w:t>W.r.t</w:t>
      </w:r>
      <w:proofErr w:type="spellEnd"/>
      <w:r>
        <w:rPr>
          <w:rFonts w:eastAsia="SimSun"/>
          <w:sz w:val="20"/>
          <w:lang w:val="en-US" w:eastAsia="zh-CN"/>
        </w:rPr>
        <w:t xml:space="preserve"> the receiver, linear MMSE with hard-SIC receiver is assumed for all the cases where the details can be found in </w:t>
      </w:r>
      <w:r w:rsidR="00033CFD">
        <w:rPr>
          <w:rFonts w:eastAsia="SimSun"/>
          <w:sz w:val="20"/>
          <w:lang w:val="en-US" w:eastAsia="zh-CN"/>
        </w:rPr>
        <w:fldChar w:fldCharType="begin"/>
      </w:r>
      <w:r>
        <w:rPr>
          <w:rFonts w:eastAsia="SimSun"/>
          <w:sz w:val="20"/>
          <w:lang w:val="en-US" w:eastAsia="zh-CN"/>
        </w:rPr>
        <w:instrText xml:space="preserve"> REF _Ref513839138 \r \h </w:instrText>
      </w:r>
      <w:r w:rsidR="00033CFD">
        <w:rPr>
          <w:rFonts w:eastAsia="SimSun"/>
          <w:sz w:val="20"/>
          <w:lang w:val="en-US" w:eastAsia="zh-CN"/>
        </w:rPr>
      </w:r>
      <w:r w:rsidR="00033CFD">
        <w:rPr>
          <w:rFonts w:eastAsia="SimSun"/>
          <w:sz w:val="20"/>
          <w:lang w:val="en-US" w:eastAsia="zh-CN"/>
        </w:rPr>
        <w:fldChar w:fldCharType="separate"/>
      </w:r>
      <w:r>
        <w:rPr>
          <w:rFonts w:eastAsia="SimSun"/>
          <w:sz w:val="20"/>
          <w:lang w:val="en-US" w:eastAsia="zh-CN"/>
        </w:rPr>
        <w:t>[6]</w:t>
      </w:r>
      <w:r w:rsidR="00033CFD">
        <w:rPr>
          <w:rFonts w:eastAsia="SimSun"/>
          <w:sz w:val="20"/>
          <w:lang w:val="en-US" w:eastAsia="zh-CN"/>
        </w:rPr>
        <w:fldChar w:fldCharType="end"/>
      </w:r>
      <w:r>
        <w:rPr>
          <w:rFonts w:eastAsia="SimSun"/>
          <w:sz w:val="20"/>
          <w:lang w:val="en-US" w:eastAsia="zh-CN"/>
        </w:rPr>
        <w:t>. EPA is also implement</w:t>
      </w:r>
      <w:r>
        <w:rPr>
          <w:rFonts w:eastAsia="SimSun" w:hint="eastAsia"/>
          <w:sz w:val="20"/>
          <w:lang w:val="en-US" w:eastAsia="zh-CN"/>
        </w:rPr>
        <w:t>ed</w:t>
      </w:r>
      <w:r>
        <w:rPr>
          <w:rFonts w:eastAsia="SimSun"/>
          <w:sz w:val="20"/>
          <w:lang w:val="en-US" w:eastAsia="zh-CN"/>
        </w:rPr>
        <w:t xml:space="preserve"> for performance </w:t>
      </w:r>
      <w:r>
        <w:rPr>
          <w:rFonts w:eastAsia="SimSun"/>
          <w:sz w:val="20"/>
          <w:lang w:val="en-US" w:eastAsia="zh-CN"/>
        </w:rPr>
        <w:t xml:space="preserve">comparison for some cases. </w:t>
      </w:r>
      <w:r>
        <w:rPr>
          <w:rFonts w:eastAsiaTheme="minorEastAsia"/>
          <w:sz w:val="20"/>
          <w:lang w:val="en-US" w:eastAsia="zh-CN"/>
        </w:rPr>
        <w:t>For both realistic and ideal channel estimation, NR DMRS Type 2 with 1/7 overhead is adopted if the number of UEs is less than 12. Otherwise, the number of FDM combs is simply doubled to increase the number of orthogonal ports to</w:t>
      </w:r>
      <w:r>
        <w:rPr>
          <w:rFonts w:eastAsiaTheme="minorEastAsia"/>
          <w:sz w:val="20"/>
          <w:lang w:val="en-US" w:eastAsia="zh-CN"/>
        </w:rPr>
        <w:t xml:space="preserve"> e.g. 24. Consequently, the accuracy of channel estimation would suffer due to the less number of estimation samples in frequency domain.</w:t>
      </w:r>
      <w:r>
        <w:rPr>
          <w:rFonts w:eastAsia="SimSun"/>
          <w:sz w:val="20"/>
          <w:lang w:val="en-US" w:eastAsia="zh-CN"/>
        </w:rPr>
        <w:t xml:space="preserve"> </w:t>
      </w:r>
    </w:p>
    <w:p w:rsidR="00033CFD" w:rsidRDefault="00E811E3">
      <w:pPr>
        <w:pStyle w:val="Heading2"/>
      </w:pPr>
      <w:r>
        <w:t>Results for a</w:t>
      </w:r>
      <w:r>
        <w:rPr>
          <w:rFonts w:hint="eastAsia"/>
        </w:rPr>
        <w:t>dditional</w:t>
      </w:r>
      <w:r>
        <w:t xml:space="preserve"> </w:t>
      </w:r>
      <w:r>
        <w:rPr>
          <w:rFonts w:hint="eastAsia"/>
        </w:rPr>
        <w:t>cases</w:t>
      </w:r>
      <w:r>
        <w:t xml:space="preserve"> with</w:t>
      </w:r>
      <w:r>
        <w:rPr>
          <w:rFonts w:hint="eastAsia"/>
        </w:rPr>
        <w:t xml:space="preserve"> MMSE-SIC</w:t>
      </w:r>
      <w:r>
        <w:t xml:space="preserve"> receiver</w:t>
      </w:r>
    </w:p>
    <w:p w:rsidR="00033CFD" w:rsidRDefault="00E811E3">
      <w:pPr>
        <w:snapToGrid w:val="0"/>
        <w:spacing w:after="100" w:afterAutospacing="1" w:line="240" w:lineRule="auto"/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>For</w:t>
      </w:r>
      <w:r>
        <w:rPr>
          <w:rFonts w:eastAsia="SimSun" w:hint="eastAsia"/>
          <w:sz w:val="20"/>
          <w:lang w:val="en-US" w:eastAsia="zh-CN"/>
        </w:rPr>
        <w:t xml:space="preserve"> </w:t>
      </w:r>
      <w:r>
        <w:rPr>
          <w:rFonts w:eastAsia="SimSun"/>
          <w:sz w:val="20"/>
          <w:lang w:val="en-US" w:eastAsia="zh-CN"/>
        </w:rPr>
        <w:t xml:space="preserve">mMTC, </w:t>
      </w:r>
      <w:r>
        <w:rPr>
          <w:rFonts w:eastAsia="SimSun" w:hint="eastAsia"/>
          <w:sz w:val="20"/>
          <w:lang w:val="en-US" w:eastAsia="zh-CN"/>
        </w:rPr>
        <w:t xml:space="preserve">Opt 2 is </w:t>
      </w:r>
      <w:r>
        <w:rPr>
          <w:rFonts w:eastAsia="SimSun" w:hint="eastAsia"/>
          <w:sz w:val="20"/>
          <w:lang w:val="en-US" w:eastAsia="zh-CN"/>
        </w:rPr>
        <w:t>considered in the simulations of</w:t>
      </w:r>
      <w:r>
        <w:rPr>
          <w:rFonts w:eastAsia="SimSun" w:hint="eastAsia"/>
          <w:sz w:val="20"/>
          <w:lang w:val="en-US" w:eastAsia="zh-CN"/>
        </w:rPr>
        <w:t xml:space="preserve"> </w:t>
      </w:r>
      <w:r>
        <w:rPr>
          <w:rFonts w:eastAsia="SimSun" w:hint="eastAsia"/>
          <w:sz w:val="20"/>
          <w:lang w:val="en-US" w:eastAsia="zh-CN"/>
        </w:rPr>
        <w:t xml:space="preserve">4 new cases </w:t>
      </w:r>
      <w:r>
        <w:rPr>
          <w:rFonts w:eastAsia="SimSun" w:hint="eastAsia"/>
          <w:sz w:val="20"/>
          <w:lang w:val="en-US" w:eastAsia="zh-CN"/>
        </w:rPr>
        <w:t>added in Template 1</w:t>
      </w:r>
      <w:r>
        <w:rPr>
          <w:rFonts w:eastAsia="SimSun" w:hint="eastAsia"/>
          <w:sz w:val="20"/>
          <w:lang w:val="en-US" w:eastAsia="zh-CN"/>
        </w:rPr>
        <w:t>. F</w:t>
      </w:r>
      <w:r>
        <w:rPr>
          <w:rFonts w:eastAsia="SimSun" w:hint="eastAsia"/>
          <w:sz w:val="20"/>
          <w:lang w:val="en-US" w:eastAsia="zh-CN"/>
        </w:rPr>
        <w:t>or case 32 and 34,</w:t>
      </w:r>
      <w:r>
        <w:rPr>
          <w:rFonts w:eastAsia="SimSun" w:hint="eastAsia"/>
          <w:sz w:val="20"/>
          <w:lang w:val="en-US" w:eastAsia="zh-CN"/>
        </w:rPr>
        <w:t xml:space="preserve"> </w:t>
      </w:r>
      <w:bookmarkStart w:id="0" w:name="OLE_LINK2"/>
      <w:r>
        <w:rPr>
          <w:rFonts w:eastAsia="SimSun"/>
          <w:sz w:val="20"/>
          <w:lang w:val="en-US" w:eastAsia="zh-CN"/>
        </w:rPr>
        <w:t xml:space="preserve">average </w:t>
      </w:r>
      <w:r>
        <w:rPr>
          <w:rFonts w:eastAsia="SimSun" w:hint="eastAsia"/>
          <w:sz w:val="20"/>
          <w:lang w:val="en-US" w:eastAsia="zh-CN"/>
        </w:rPr>
        <w:t xml:space="preserve">SNR follows Gaussian distribution with standard deviation </w:t>
      </w:r>
      <w:r>
        <w:rPr>
          <w:rFonts w:eastAsia="SimSun"/>
          <w:sz w:val="20"/>
          <w:lang w:val="en-US" w:eastAsia="zh-CN"/>
        </w:rPr>
        <w:t xml:space="preserve">of </w:t>
      </w:r>
      <w:r>
        <w:rPr>
          <w:rFonts w:eastAsia="SimSun" w:hint="eastAsia"/>
          <w:sz w:val="20"/>
          <w:lang w:val="en-US" w:eastAsia="zh-CN"/>
        </w:rPr>
        <w:t>9 dB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rFonts w:eastAsia="SimSun" w:hint="eastAsia"/>
          <w:sz w:val="20"/>
          <w:lang w:val="en-US" w:eastAsia="zh-CN"/>
        </w:rPr>
        <w:t>truncat</w:t>
      </w:r>
      <w:r>
        <w:rPr>
          <w:rFonts w:eastAsia="SimSun"/>
          <w:sz w:val="20"/>
          <w:lang w:val="en-US" w:eastAsia="zh-CN"/>
        </w:rPr>
        <w:t xml:space="preserve">ed to </w:t>
      </w:r>
      <w:r>
        <w:rPr>
          <w:rFonts w:eastAsia="SimSun" w:hint="eastAsia"/>
          <w:sz w:val="20"/>
          <w:lang w:val="en-US" w:eastAsia="zh-CN"/>
        </w:rPr>
        <w:t>[-36, 36]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rFonts w:eastAsia="SimSun"/>
          <w:sz w:val="20"/>
          <w:lang w:val="en-US" w:eastAsia="zh-CN"/>
        </w:rPr>
        <w:t>dB</w:t>
      </w:r>
      <w:r>
        <w:rPr>
          <w:rFonts w:eastAsia="SimSun" w:hint="eastAsia"/>
          <w:sz w:val="20"/>
          <w:lang w:val="en-US" w:eastAsia="zh-CN"/>
        </w:rPr>
        <w:t>,</w:t>
      </w:r>
      <w:bookmarkEnd w:id="0"/>
      <w:r>
        <w:rPr>
          <w:rFonts w:eastAsia="SimSun" w:hint="eastAsia"/>
          <w:sz w:val="20"/>
          <w:lang w:val="en-US" w:eastAsia="zh-CN"/>
        </w:rPr>
        <w:t xml:space="preserve"> for case 33 and 35,</w:t>
      </w:r>
      <w:r>
        <w:rPr>
          <w:rFonts w:eastAsia="SimSun" w:hint="eastAsia"/>
          <w:sz w:val="20"/>
          <w:lang w:val="en-US" w:eastAsia="zh-CN"/>
        </w:rPr>
        <w:t xml:space="preserve"> </w:t>
      </w:r>
      <w:r>
        <w:rPr>
          <w:rFonts w:eastAsia="SimSun"/>
          <w:sz w:val="20"/>
          <w:lang w:val="en-US" w:eastAsia="zh-CN"/>
        </w:rPr>
        <w:t xml:space="preserve">average </w:t>
      </w:r>
      <w:r>
        <w:rPr>
          <w:rFonts w:eastAsia="SimSun" w:hint="eastAsia"/>
          <w:sz w:val="20"/>
          <w:lang w:val="en-US" w:eastAsia="zh-CN"/>
        </w:rPr>
        <w:t xml:space="preserve">SNR follows Gaussian distribution with standard deviation </w:t>
      </w:r>
      <w:r>
        <w:rPr>
          <w:rFonts w:eastAsia="SimSun"/>
          <w:sz w:val="20"/>
          <w:lang w:val="en-US" w:eastAsia="zh-CN"/>
        </w:rPr>
        <w:t xml:space="preserve">of </w:t>
      </w:r>
      <w:r>
        <w:rPr>
          <w:rFonts w:eastAsia="SimSun" w:hint="eastAsia"/>
          <w:sz w:val="20"/>
          <w:lang w:val="en-US" w:eastAsia="zh-CN"/>
        </w:rPr>
        <w:t>4 dB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rFonts w:eastAsia="SimSun" w:hint="eastAsia"/>
          <w:sz w:val="20"/>
          <w:lang w:val="en-US" w:eastAsia="zh-CN"/>
        </w:rPr>
        <w:t>truncat</w:t>
      </w:r>
      <w:r>
        <w:rPr>
          <w:rFonts w:eastAsia="SimSun"/>
          <w:sz w:val="20"/>
          <w:lang w:val="en-US" w:eastAsia="zh-CN"/>
        </w:rPr>
        <w:t xml:space="preserve">ed to </w:t>
      </w:r>
      <w:r>
        <w:rPr>
          <w:rFonts w:eastAsia="SimSun" w:hint="eastAsia"/>
          <w:sz w:val="20"/>
          <w:lang w:val="en-US" w:eastAsia="zh-CN"/>
        </w:rPr>
        <w:t>[-16, 16]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rFonts w:eastAsia="SimSun"/>
          <w:sz w:val="20"/>
          <w:lang w:val="en-US" w:eastAsia="zh-CN"/>
        </w:rPr>
        <w:t>dB</w:t>
      </w:r>
      <w:r>
        <w:rPr>
          <w:rFonts w:eastAsia="SimSun" w:hint="eastAsia"/>
          <w:sz w:val="20"/>
          <w:lang w:val="en-US" w:eastAsia="zh-CN"/>
        </w:rPr>
        <w:t xml:space="preserve"> and 5 dB truncated to [-20,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rFonts w:eastAsia="SimSun" w:hint="eastAsia"/>
          <w:sz w:val="20"/>
          <w:lang w:val="en-US" w:eastAsia="zh-CN"/>
        </w:rPr>
        <w:t>20]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rFonts w:eastAsia="SimSun" w:hint="eastAsia"/>
          <w:sz w:val="20"/>
          <w:lang w:val="en-US" w:eastAsia="zh-CN"/>
        </w:rPr>
        <w:t>dB</w:t>
      </w:r>
      <w:r>
        <w:rPr>
          <w:rFonts w:eastAsia="SimSun"/>
          <w:sz w:val="20"/>
          <w:lang w:val="en-US" w:eastAsia="zh-CN"/>
        </w:rPr>
        <w:t>,</w:t>
      </w:r>
      <w:r>
        <w:rPr>
          <w:rFonts w:eastAsia="SimSun" w:hint="eastAsia"/>
          <w:sz w:val="20"/>
          <w:lang w:val="en-US" w:eastAsia="zh-CN"/>
        </w:rPr>
        <w:t xml:space="preserve"> respect</w:t>
      </w:r>
      <w:r>
        <w:rPr>
          <w:rFonts w:eastAsia="SimSun" w:hint="eastAsia"/>
          <w:sz w:val="20"/>
          <w:lang w:val="en-US" w:eastAsia="zh-CN"/>
        </w:rPr>
        <w:t>ively.</w:t>
      </w:r>
    </w:p>
    <w:p w:rsidR="00033CFD" w:rsidRDefault="00E811E3">
      <w:pPr>
        <w:snapToGrid w:val="0"/>
        <w:spacing w:after="100" w:afterAutospacing="1" w:line="240" w:lineRule="auto"/>
        <w:rPr>
          <w:rFonts w:eastAsia="SimSun"/>
          <w:sz w:val="20"/>
          <w:lang w:val="en-US" w:eastAsia="zh-CN"/>
        </w:rPr>
      </w:pPr>
      <w:r>
        <w:rPr>
          <w:rFonts w:eastAsia="SimSun" w:hint="eastAsia"/>
          <w:sz w:val="20"/>
          <w:lang w:val="en-US" w:eastAsia="zh-CN"/>
        </w:rPr>
        <w:t xml:space="preserve">As the results by MMSE-SIC shown in Figure 1~Figure 4, it can be found that BLER can </w:t>
      </w:r>
      <w:r>
        <w:rPr>
          <w:rFonts w:eastAsia="SimSun"/>
          <w:sz w:val="20"/>
          <w:lang w:val="en-US" w:eastAsia="zh-CN"/>
        </w:rPr>
        <w:t>go below 10%</w:t>
      </w:r>
      <w:r>
        <w:rPr>
          <w:rFonts w:eastAsia="SimSun" w:hint="eastAsia"/>
          <w:sz w:val="20"/>
          <w:lang w:val="en-US" w:eastAsia="zh-CN"/>
        </w:rPr>
        <w:t xml:space="preserve"> both for low spectral efficiency (20 bytes</w:t>
      </w:r>
      <w:r>
        <w:rPr>
          <w:rFonts w:eastAsia="SimSun"/>
          <w:sz w:val="20"/>
          <w:lang w:val="en-US" w:eastAsia="zh-CN"/>
        </w:rPr>
        <w:t xml:space="preserve"> as in</w:t>
      </w:r>
      <w:r>
        <w:rPr>
          <w:rFonts w:eastAsia="SimSun" w:hint="eastAsia"/>
          <w:sz w:val="20"/>
          <w:lang w:val="en-US" w:eastAsia="zh-CN"/>
        </w:rPr>
        <w:t xml:space="preserve"> Figure 1) and high spectral efficiency (60 bytes</w:t>
      </w:r>
      <w:r>
        <w:rPr>
          <w:rFonts w:eastAsia="SimSun"/>
          <w:sz w:val="20"/>
          <w:lang w:val="en-US" w:eastAsia="zh-CN"/>
        </w:rPr>
        <w:t xml:space="preserve"> as in</w:t>
      </w:r>
      <w:r>
        <w:rPr>
          <w:rFonts w:eastAsia="SimSun" w:hint="eastAsia"/>
          <w:sz w:val="20"/>
          <w:lang w:val="en-US" w:eastAsia="zh-CN"/>
        </w:rPr>
        <w:t xml:space="preserve"> Figure 2). </w:t>
      </w:r>
      <w:r>
        <w:rPr>
          <w:rFonts w:eastAsia="SimSun"/>
          <w:sz w:val="20"/>
          <w:lang w:val="en-US" w:eastAsia="zh-CN"/>
        </w:rPr>
        <w:t>Performance gap between ICE and RCE is up to 2 dB</w:t>
      </w:r>
      <w:r>
        <w:rPr>
          <w:rFonts w:eastAsia="SimSun" w:hint="eastAsia"/>
          <w:sz w:val="20"/>
          <w:lang w:val="en-US" w:eastAsia="zh-CN"/>
        </w:rPr>
        <w:t xml:space="preserve"> for </w:t>
      </w:r>
      <w:r>
        <w:rPr>
          <w:rFonts w:eastAsia="SimSun"/>
          <w:sz w:val="20"/>
          <w:lang w:val="en-US" w:eastAsia="zh-CN"/>
        </w:rPr>
        <w:t>C</w:t>
      </w:r>
      <w:r>
        <w:rPr>
          <w:rFonts w:eastAsia="SimSun" w:hint="eastAsia"/>
          <w:sz w:val="20"/>
          <w:lang w:val="en-US" w:eastAsia="zh-CN"/>
        </w:rPr>
        <w:t>ase 32</w:t>
      </w:r>
      <w:r>
        <w:rPr>
          <w:rFonts w:eastAsia="SimSun"/>
          <w:sz w:val="20"/>
          <w:lang w:val="en-US" w:eastAsia="zh-CN"/>
        </w:rPr>
        <w:t xml:space="preserve"> and </w:t>
      </w:r>
      <w:r>
        <w:rPr>
          <w:rFonts w:eastAsia="SimSun" w:hint="eastAsia"/>
          <w:sz w:val="20"/>
          <w:lang w:val="en-US" w:eastAsia="zh-CN"/>
        </w:rPr>
        <w:t xml:space="preserve">smaller for </w:t>
      </w:r>
      <w:r>
        <w:rPr>
          <w:rFonts w:eastAsia="SimSun"/>
          <w:sz w:val="20"/>
          <w:lang w:val="en-US" w:eastAsia="zh-CN"/>
        </w:rPr>
        <w:t>C</w:t>
      </w:r>
      <w:r>
        <w:rPr>
          <w:rFonts w:eastAsia="SimSun" w:hint="eastAsia"/>
          <w:sz w:val="20"/>
          <w:lang w:val="en-US" w:eastAsia="zh-CN"/>
        </w:rPr>
        <w:t>ase 33.</w:t>
      </w:r>
    </w:p>
    <w:tbl>
      <w:tblPr>
        <w:tblStyle w:val="TableGrid"/>
        <w:tblW w:w="79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960"/>
        <w:gridCol w:w="3960"/>
      </w:tblGrid>
      <w:tr w:rsidR="00033CFD">
        <w:trPr>
          <w:trHeight w:val="2343"/>
          <w:jc w:val="center"/>
        </w:trPr>
        <w:tc>
          <w:tcPr>
            <w:tcW w:w="3960" w:type="dxa"/>
          </w:tcPr>
          <w:p w:rsidR="00033CFD" w:rsidRDefault="00E811E3">
            <w:pPr>
              <w:widowControl w:val="0"/>
              <w:snapToGrid w:val="0"/>
              <w:spacing w:after="100" w:afterAutospacing="1" w:line="240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114300" distR="114300">
                  <wp:extent cx="2512060" cy="1884045"/>
                  <wp:effectExtent l="0" t="0" r="2540" b="190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 w:rsidR="00033CFD" w:rsidRDefault="00E811E3">
            <w:pPr>
              <w:keepNext/>
              <w:widowControl w:val="0"/>
              <w:snapToGrid w:val="0"/>
              <w:spacing w:after="100" w:afterAutospacing="1" w:line="240" w:lineRule="auto"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CFD">
        <w:trPr>
          <w:trHeight w:val="293"/>
          <w:jc w:val="center"/>
        </w:trPr>
        <w:tc>
          <w:tcPr>
            <w:tcW w:w="7920" w:type="dxa"/>
            <w:gridSpan w:val="2"/>
          </w:tcPr>
          <w:p w:rsidR="00033CFD" w:rsidRDefault="00E811E3">
            <w:pPr>
              <w:widowControl w:val="0"/>
              <w:snapToGrid w:val="0"/>
              <w:spacing w:after="100" w:afterAutospacing="1" w:line="240" w:lineRule="auto"/>
              <w:jc w:val="center"/>
              <w:rPr>
                <w:rFonts w:eastAsia="SimSun"/>
                <w:b/>
                <w:sz w:val="20"/>
                <w:szCs w:val="20"/>
                <w:lang w:eastAsia="zh-CN"/>
              </w:rPr>
            </w:pPr>
            <w:bookmarkStart w:id="1" w:name="_Ref525925595"/>
            <w:r>
              <w:rPr>
                <w:sz w:val="20"/>
                <w:szCs w:val="20"/>
              </w:rPr>
              <w:t xml:space="preserve">Figure </w:t>
            </w:r>
            <w:r w:rsidR="00033CFD"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SEQ Figure \* ARABIC </w:instrText>
            </w:r>
            <w:r w:rsidR="00033CFD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1</w:t>
            </w:r>
            <w:r w:rsidR="00033CFD">
              <w:rPr>
                <w:sz w:val="20"/>
                <w:szCs w:val="20"/>
              </w:rPr>
              <w:fldChar w:fldCharType="end"/>
            </w:r>
            <w:bookmarkEnd w:id="1"/>
            <w:r>
              <w:rPr>
                <w:sz w:val="20"/>
                <w:szCs w:val="20"/>
              </w:rPr>
              <w:t xml:space="preserve"> LLS results of ICE (left) and RCE (right) for Case 32 (TBS =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sz w:val="20"/>
                <w:szCs w:val="20"/>
              </w:rPr>
              <w:t xml:space="preserve">0 Bytes with </w:t>
            </w:r>
            <w:r>
              <w:rPr>
                <w:rFonts w:eastAsia="SimSun"/>
                <w:sz w:val="20"/>
                <w:szCs w:val="20"/>
                <w:lang w:val="en-US" w:eastAsia="zh-CN"/>
              </w:rPr>
              <w:t>Gaussian distributed</w:t>
            </w:r>
            <w:r>
              <w:rPr>
                <w:sz w:val="20"/>
                <w:szCs w:val="20"/>
              </w:rPr>
              <w:t xml:space="preserve"> avg. SNR, Rx = 2) with MMSE-SIC receiver</w:t>
            </w:r>
          </w:p>
        </w:tc>
      </w:tr>
      <w:tr w:rsidR="00033CFD">
        <w:trPr>
          <w:trHeight w:val="2343"/>
          <w:jc w:val="center"/>
        </w:trPr>
        <w:tc>
          <w:tcPr>
            <w:tcW w:w="3960" w:type="dxa"/>
          </w:tcPr>
          <w:p w:rsidR="00033CFD" w:rsidRDefault="00E811E3">
            <w:pPr>
              <w:widowControl w:val="0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 w:rsidR="00033CFD" w:rsidRDefault="00E811E3">
            <w:pPr>
              <w:widowControl w:val="0"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1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CFD">
        <w:trPr>
          <w:trHeight w:val="293"/>
          <w:jc w:val="center"/>
        </w:trPr>
        <w:tc>
          <w:tcPr>
            <w:tcW w:w="7920" w:type="dxa"/>
            <w:gridSpan w:val="2"/>
          </w:tcPr>
          <w:p w:rsidR="00033CFD" w:rsidRDefault="00E811E3">
            <w:pPr>
              <w:widowControl w:val="0"/>
              <w:snapToGrid w:val="0"/>
              <w:spacing w:after="100" w:afterAutospacing="1" w:line="240" w:lineRule="auto"/>
              <w:jc w:val="center"/>
              <w:rPr>
                <w:sz w:val="20"/>
                <w:szCs w:val="20"/>
              </w:rPr>
            </w:pPr>
            <w:bookmarkStart w:id="2" w:name="_Ref525934268"/>
            <w:r>
              <w:rPr>
                <w:sz w:val="20"/>
                <w:szCs w:val="20"/>
              </w:rPr>
              <w:t xml:space="preserve">Figure </w:t>
            </w:r>
            <w:r w:rsidR="00033CFD"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SEQ Figure \* ARABIC </w:instrText>
            </w:r>
            <w:r w:rsidR="00033CFD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2</w:t>
            </w:r>
            <w:r w:rsidR="00033CFD"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 xml:space="preserve"> LLS results of ICE (left) and RCE (right) for Case 33 (TBS =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sz w:val="20"/>
                <w:szCs w:val="20"/>
              </w:rPr>
              <w:t xml:space="preserve">0 Bytes with </w:t>
            </w:r>
            <w:r>
              <w:rPr>
                <w:rFonts w:eastAsia="SimSun"/>
                <w:sz w:val="20"/>
                <w:szCs w:val="20"/>
                <w:lang w:val="en-US" w:eastAsia="zh-CN"/>
              </w:rPr>
              <w:t>Gaussian distributed avg.</w:t>
            </w:r>
            <w:r>
              <w:rPr>
                <w:sz w:val="20"/>
                <w:szCs w:val="20"/>
              </w:rPr>
              <w:t xml:space="preserve"> SNR, Rx = 2) with MMSE-SIC receiver</w:t>
            </w:r>
          </w:p>
          <w:p w:rsidR="00033CFD" w:rsidRDefault="00033CFD">
            <w:pPr>
              <w:widowControl w:val="0"/>
              <w:snapToGrid w:val="0"/>
              <w:spacing w:after="100" w:afterAutospacing="1" w:line="240" w:lineRule="auto"/>
              <w:jc w:val="center"/>
              <w:rPr>
                <w:rFonts w:eastAsia="SimSun"/>
                <w:b/>
                <w:sz w:val="16"/>
                <w:szCs w:val="20"/>
                <w:lang w:eastAsia="zh-CN"/>
              </w:rPr>
            </w:pPr>
          </w:p>
        </w:tc>
      </w:tr>
    </w:tbl>
    <w:p w:rsidR="00033CFD" w:rsidRDefault="00E811E3">
      <w:pPr>
        <w:snapToGrid w:val="0"/>
        <w:spacing w:after="100" w:afterAutospacing="1" w:line="240" w:lineRule="auto"/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>When the number of</w:t>
      </w:r>
      <w:r>
        <w:rPr>
          <w:rFonts w:eastAsia="SimSun" w:hint="eastAsia"/>
          <w:sz w:val="20"/>
          <w:lang w:val="en-US" w:eastAsia="zh-CN"/>
        </w:rPr>
        <w:t xml:space="preserve"> Rx </w:t>
      </w:r>
      <w:r>
        <w:rPr>
          <w:rFonts w:eastAsia="SimSun"/>
          <w:sz w:val="20"/>
          <w:lang w:val="en-US" w:eastAsia="zh-CN"/>
        </w:rPr>
        <w:t xml:space="preserve">antennas is increased to 4, </w:t>
      </w:r>
      <w:r>
        <w:rPr>
          <w:rFonts w:eastAsia="SimSun"/>
          <w:sz w:val="20"/>
          <w:lang w:val="en-US" w:eastAsia="zh-CN"/>
        </w:rPr>
        <w:t xml:space="preserve">less performance gap (up to 1dB) is observed between RCE and ICE as shown in </w:t>
      </w:r>
      <w:r>
        <w:rPr>
          <w:rFonts w:eastAsia="SimSun" w:hint="eastAsia"/>
          <w:sz w:val="20"/>
          <w:lang w:val="en-US" w:eastAsia="zh-CN"/>
        </w:rPr>
        <w:t>Figure 3</w:t>
      </w:r>
      <w:r>
        <w:rPr>
          <w:rFonts w:eastAsia="SimSun"/>
          <w:sz w:val="20"/>
          <w:lang w:val="en-US" w:eastAsia="zh-CN"/>
        </w:rPr>
        <w:t xml:space="preserve"> and Figure </w:t>
      </w:r>
      <w:r>
        <w:rPr>
          <w:rFonts w:eastAsia="SimSun" w:hint="eastAsia"/>
          <w:sz w:val="20"/>
          <w:lang w:val="en-US" w:eastAsia="zh-CN"/>
        </w:rPr>
        <w:t>4</w:t>
      </w:r>
      <w:r>
        <w:rPr>
          <w:rFonts w:eastAsia="SimSun"/>
          <w:sz w:val="20"/>
          <w:lang w:val="en-US" w:eastAsia="zh-CN"/>
        </w:rPr>
        <w:t xml:space="preserve">. </w:t>
      </w:r>
    </w:p>
    <w:tbl>
      <w:tblPr>
        <w:tblStyle w:val="TableGrid"/>
        <w:tblW w:w="79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960"/>
        <w:gridCol w:w="3960"/>
      </w:tblGrid>
      <w:tr w:rsidR="00033CFD">
        <w:trPr>
          <w:trHeight w:val="2343"/>
          <w:jc w:val="center"/>
        </w:trPr>
        <w:tc>
          <w:tcPr>
            <w:tcW w:w="3960" w:type="dxa"/>
          </w:tcPr>
          <w:p w:rsidR="00033CFD" w:rsidRDefault="00E811E3">
            <w:pPr>
              <w:widowControl w:val="0"/>
              <w:snapToGrid w:val="0"/>
              <w:spacing w:after="100" w:afterAutospacing="1" w:line="240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2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 w:rsidR="00033CFD" w:rsidRDefault="00E811E3">
            <w:pPr>
              <w:keepNext/>
              <w:widowControl w:val="0"/>
              <w:snapToGrid w:val="0"/>
              <w:spacing w:after="100" w:afterAutospacing="1" w:line="240" w:lineRule="auto"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2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CFD">
        <w:trPr>
          <w:trHeight w:val="293"/>
          <w:jc w:val="center"/>
        </w:trPr>
        <w:tc>
          <w:tcPr>
            <w:tcW w:w="7920" w:type="dxa"/>
            <w:gridSpan w:val="2"/>
          </w:tcPr>
          <w:p w:rsidR="00033CFD" w:rsidRDefault="00E811E3">
            <w:pPr>
              <w:widowControl w:val="0"/>
              <w:snapToGrid w:val="0"/>
              <w:spacing w:after="100" w:afterAutospacing="1" w:line="240" w:lineRule="auto"/>
              <w:jc w:val="center"/>
              <w:rPr>
                <w:rFonts w:eastAsia="SimSun"/>
                <w:b/>
                <w:sz w:val="16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Figure</w:t>
            </w:r>
            <w:r>
              <w:t xml:space="preserve"> </w:t>
            </w:r>
            <w:r w:rsidR="00033CFD">
              <w:fldChar w:fldCharType="begin"/>
            </w:r>
            <w:r>
              <w:instrText xml:space="preserve"> SEQ Figure \* ARABIC </w:instrText>
            </w:r>
            <w:r w:rsidR="00033CFD">
              <w:fldChar w:fldCharType="separate"/>
            </w:r>
            <w:r>
              <w:t>3</w:t>
            </w:r>
            <w:r w:rsidR="00033CFD">
              <w:fldChar w:fldCharType="end"/>
            </w:r>
            <w:r>
              <w:t xml:space="preserve"> LLS </w:t>
            </w:r>
            <w:r>
              <w:rPr>
                <w:sz w:val="20"/>
                <w:szCs w:val="20"/>
              </w:rPr>
              <w:t xml:space="preserve">results of ICE (left) and RCE (right) for Case 34 (TBS =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sz w:val="20"/>
                <w:szCs w:val="20"/>
              </w:rPr>
              <w:t>0 Byte</w:t>
            </w:r>
            <w:r>
              <w:rPr>
                <w:sz w:val="20"/>
                <w:szCs w:val="20"/>
              </w:rPr>
              <w:t xml:space="preserve">s with </w:t>
            </w:r>
            <w:r>
              <w:rPr>
                <w:rFonts w:eastAsia="SimSun"/>
                <w:sz w:val="20"/>
                <w:szCs w:val="20"/>
                <w:lang w:val="en-US" w:eastAsia="zh-CN"/>
              </w:rPr>
              <w:t>Gaussian distributed avg.</w:t>
            </w:r>
            <w:r>
              <w:rPr>
                <w:sz w:val="20"/>
                <w:szCs w:val="20"/>
              </w:rPr>
              <w:t xml:space="preserve"> SNR, Rx = 4) with MMSE-SIC receiver</w:t>
            </w:r>
          </w:p>
        </w:tc>
      </w:tr>
      <w:tr w:rsidR="00033CFD">
        <w:trPr>
          <w:trHeight w:val="2343"/>
          <w:jc w:val="center"/>
        </w:trPr>
        <w:tc>
          <w:tcPr>
            <w:tcW w:w="3960" w:type="dxa"/>
          </w:tcPr>
          <w:p w:rsidR="00033CFD" w:rsidRDefault="00E811E3">
            <w:pPr>
              <w:widowControl w:val="0"/>
              <w:snapToGrid w:val="0"/>
              <w:spacing w:after="100" w:afterAutospacing="1" w:line="240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114300" distR="114300">
                  <wp:extent cx="2512060" cy="1884045"/>
                  <wp:effectExtent l="0" t="0" r="2540" b="1905"/>
                  <wp:docPr id="1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 w:rsidR="00033CFD" w:rsidRDefault="00E811E3">
            <w:pPr>
              <w:keepNext/>
              <w:widowControl w:val="0"/>
              <w:snapToGrid w:val="0"/>
              <w:spacing w:after="100" w:afterAutospacing="1" w:line="240" w:lineRule="auto"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1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CFD">
        <w:trPr>
          <w:trHeight w:val="293"/>
          <w:jc w:val="center"/>
        </w:trPr>
        <w:tc>
          <w:tcPr>
            <w:tcW w:w="7920" w:type="dxa"/>
            <w:gridSpan w:val="2"/>
          </w:tcPr>
          <w:p w:rsidR="00033CFD" w:rsidRDefault="00E811E3">
            <w:pPr>
              <w:widowControl w:val="0"/>
              <w:snapToGrid w:val="0"/>
              <w:spacing w:after="100" w:afterAutospacing="1" w:line="240" w:lineRule="auto"/>
              <w:jc w:val="center"/>
              <w:rPr>
                <w:rFonts w:eastAsia="SimSun"/>
                <w:b/>
                <w:sz w:val="16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Figure </w:t>
            </w:r>
            <w:r w:rsidR="00033CFD"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SEQ Figure \* ARABIC </w:instrText>
            </w:r>
            <w:r w:rsidR="00033CFD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4</w:t>
            </w:r>
            <w:r w:rsidR="00033CFD">
              <w:rPr>
                <w:sz w:val="20"/>
                <w:szCs w:val="20"/>
              </w:rPr>
              <w:fldChar w:fldCharType="end"/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LLS results of ICE (left) and RCE (right) for Case 35 (TBS =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sz w:val="20"/>
                <w:szCs w:val="20"/>
              </w:rPr>
              <w:t xml:space="preserve">0 Bytes with </w:t>
            </w:r>
            <w:r>
              <w:rPr>
                <w:rFonts w:eastAsia="SimSun"/>
                <w:sz w:val="20"/>
                <w:szCs w:val="20"/>
                <w:lang w:val="en-US" w:eastAsia="zh-CN"/>
              </w:rPr>
              <w:t>Gaussian distributed avg.</w:t>
            </w:r>
            <w:r>
              <w:rPr>
                <w:sz w:val="20"/>
                <w:szCs w:val="20"/>
              </w:rPr>
              <w:t xml:space="preserve"> SNR, Rx = 4)  with MMSE-SIC receiver</w:t>
            </w:r>
          </w:p>
        </w:tc>
      </w:tr>
    </w:tbl>
    <w:p w:rsidR="00033CFD" w:rsidRDefault="00033CFD">
      <w:pPr>
        <w:snapToGrid w:val="0"/>
        <w:spacing w:after="0" w:line="240" w:lineRule="auto"/>
        <w:rPr>
          <w:rFonts w:eastAsiaTheme="minorEastAsia"/>
          <w:b/>
          <w:i/>
          <w:sz w:val="20"/>
          <w:lang w:val="en-US" w:eastAsia="zh-CN"/>
        </w:rPr>
      </w:pPr>
    </w:p>
    <w:p w:rsidR="00033CFD" w:rsidRDefault="00E811E3">
      <w:pPr>
        <w:snapToGrid w:val="0"/>
        <w:spacing w:after="0" w:line="240" w:lineRule="auto"/>
        <w:rPr>
          <w:rFonts w:eastAsia="SimSun"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Observation 1: </w:t>
      </w:r>
      <w:r>
        <w:rPr>
          <w:rFonts w:eastAsiaTheme="minorEastAsia"/>
          <w:i/>
          <w:sz w:val="20"/>
          <w:lang w:val="en-US" w:eastAsia="zh-CN"/>
        </w:rPr>
        <w:t>BLER &lt; 10% can be achieved for Case 32~Case 35 (of 9 dB standard deviation of Gaussian distributed avg. SNR) with realistic channel estimation and MMSE-SIC receiver.</w:t>
      </w:r>
    </w:p>
    <w:p w:rsidR="00033CFD" w:rsidRDefault="00E811E3">
      <w:pPr>
        <w:pStyle w:val="Heading2"/>
      </w:pPr>
      <w:r>
        <w:t>Results for a</w:t>
      </w:r>
      <w:r>
        <w:rPr>
          <w:rFonts w:hint="eastAsia"/>
        </w:rPr>
        <w:t>dditional</w:t>
      </w:r>
      <w:r>
        <w:t xml:space="preserve"> </w:t>
      </w:r>
      <w:r>
        <w:rPr>
          <w:rFonts w:hint="eastAsia"/>
        </w:rPr>
        <w:t>cases</w:t>
      </w:r>
      <w:r>
        <w:t xml:space="preserve"> </w:t>
      </w:r>
      <w:r>
        <w:rPr>
          <w:rFonts w:hint="eastAsia"/>
        </w:rPr>
        <w:t xml:space="preserve">via </w:t>
      </w:r>
      <w:r>
        <w:t>EPA</w:t>
      </w:r>
    </w:p>
    <w:p w:rsidR="00033CFD" w:rsidRDefault="00E811E3" w:rsidP="00E811E3">
      <w:pPr>
        <w:snapToGrid w:val="0"/>
        <w:spacing w:after="120" w:line="240" w:lineRule="auto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val="en-US" w:eastAsia="zh-CN"/>
        </w:rPr>
        <w:t>From</w:t>
      </w:r>
      <w:r>
        <w:rPr>
          <w:rFonts w:eastAsia="SimSun" w:hint="eastAsia"/>
          <w:sz w:val="20"/>
          <w:lang w:val="en-US" w:eastAsia="zh-CN"/>
        </w:rPr>
        <w:t xml:space="preserve"> the results </w:t>
      </w:r>
      <w:r>
        <w:rPr>
          <w:rFonts w:eastAsia="SimSun"/>
          <w:sz w:val="20"/>
          <w:lang w:val="en-US" w:eastAsia="zh-CN"/>
        </w:rPr>
        <w:t>with</w:t>
      </w:r>
      <w:r>
        <w:rPr>
          <w:rFonts w:eastAsia="SimSun" w:hint="eastAsia"/>
          <w:sz w:val="20"/>
          <w:lang w:val="en-US" w:eastAsia="zh-CN"/>
        </w:rPr>
        <w:t xml:space="preserve"> EPA </w:t>
      </w:r>
      <w:r>
        <w:rPr>
          <w:rFonts w:eastAsia="SimSun"/>
          <w:sz w:val="20"/>
          <w:lang w:val="en-US" w:eastAsia="zh-CN"/>
        </w:rPr>
        <w:t xml:space="preserve">receiver </w:t>
      </w:r>
      <w:r>
        <w:rPr>
          <w:rFonts w:eastAsia="SimSun" w:hint="eastAsia"/>
          <w:sz w:val="20"/>
          <w:lang w:val="en-US" w:eastAsia="zh-CN"/>
        </w:rPr>
        <w:t xml:space="preserve">shown in Figure 5~Figure 8, it can be found that BLER can </w:t>
      </w:r>
      <w:r>
        <w:rPr>
          <w:rFonts w:eastAsia="SimSun"/>
          <w:sz w:val="20"/>
          <w:lang w:val="en-US" w:eastAsia="zh-CN"/>
        </w:rPr>
        <w:t>go below 10%</w:t>
      </w:r>
      <w:r>
        <w:rPr>
          <w:rFonts w:eastAsia="SimSun" w:hint="eastAsia"/>
          <w:sz w:val="20"/>
          <w:lang w:val="en-US" w:eastAsia="zh-CN"/>
        </w:rPr>
        <w:t xml:space="preserve"> both for low spectral efficiency (20 bytes</w:t>
      </w:r>
      <w:r>
        <w:rPr>
          <w:rFonts w:eastAsia="SimSun"/>
          <w:sz w:val="20"/>
          <w:lang w:val="en-US" w:eastAsia="zh-CN"/>
        </w:rPr>
        <w:t xml:space="preserve"> as in</w:t>
      </w:r>
      <w:r>
        <w:rPr>
          <w:rFonts w:eastAsia="SimSun" w:hint="eastAsia"/>
          <w:sz w:val="20"/>
          <w:lang w:val="en-US" w:eastAsia="zh-CN"/>
        </w:rPr>
        <w:t xml:space="preserve"> Figure 5) and high spectral efficiency (60 bytes</w:t>
      </w:r>
      <w:r>
        <w:rPr>
          <w:rFonts w:eastAsia="SimSun"/>
          <w:sz w:val="20"/>
          <w:lang w:val="en-US" w:eastAsia="zh-CN"/>
        </w:rPr>
        <w:t xml:space="preserve"> as in</w:t>
      </w:r>
      <w:r>
        <w:rPr>
          <w:rFonts w:eastAsia="SimSun" w:hint="eastAsia"/>
          <w:sz w:val="20"/>
          <w:lang w:val="en-US" w:eastAsia="zh-CN"/>
        </w:rPr>
        <w:t xml:space="preserve"> Figure 6). </w:t>
      </w:r>
    </w:p>
    <w:p w:rsidR="00033CFD" w:rsidRDefault="00033CFD">
      <w:pPr>
        <w:snapToGrid w:val="0"/>
        <w:spacing w:after="0" w:line="240" w:lineRule="auto"/>
        <w:rPr>
          <w:rFonts w:eastAsia="SimSun"/>
          <w:sz w:val="20"/>
          <w:lang w:eastAsia="zh-CN"/>
        </w:rPr>
      </w:pPr>
    </w:p>
    <w:tbl>
      <w:tblPr>
        <w:tblStyle w:val="TableGrid"/>
        <w:tblW w:w="79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960"/>
        <w:gridCol w:w="3960"/>
      </w:tblGrid>
      <w:tr w:rsidR="00033CFD">
        <w:trPr>
          <w:trHeight w:val="2343"/>
          <w:jc w:val="center"/>
        </w:trPr>
        <w:tc>
          <w:tcPr>
            <w:tcW w:w="3960" w:type="dxa"/>
          </w:tcPr>
          <w:p w:rsidR="00033CFD" w:rsidRDefault="00E811E3">
            <w:pPr>
              <w:widowControl w:val="0"/>
              <w:snapToGrid w:val="0"/>
              <w:spacing w:after="0" w:line="240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24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 w:rsidR="00033CFD" w:rsidRDefault="00E811E3">
            <w:pPr>
              <w:keepNext/>
              <w:widowControl w:val="0"/>
              <w:snapToGrid w:val="0"/>
              <w:spacing w:after="0" w:line="240" w:lineRule="auto"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25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CFD">
        <w:trPr>
          <w:trHeight w:val="293"/>
          <w:jc w:val="center"/>
        </w:trPr>
        <w:tc>
          <w:tcPr>
            <w:tcW w:w="7920" w:type="dxa"/>
            <w:gridSpan w:val="2"/>
          </w:tcPr>
          <w:p w:rsidR="00033CFD" w:rsidRDefault="00E811E3">
            <w:pPr>
              <w:widowControl w:val="0"/>
              <w:snapToGrid w:val="0"/>
              <w:spacing w:after="0" w:line="240" w:lineRule="auto"/>
              <w:jc w:val="center"/>
              <w:rPr>
                <w:rFonts w:eastAsia="SimSun"/>
                <w:b/>
                <w:sz w:val="16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Figure </w:t>
            </w:r>
            <w:r w:rsidR="00033CFD"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SEQ Figure \* ARABIC </w:instrText>
            </w:r>
            <w:r w:rsidR="00033CFD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5</w:t>
            </w:r>
            <w:r w:rsidR="00033CFD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LLS results of ICE (left) and</w:t>
            </w:r>
            <w:r>
              <w:rPr>
                <w:sz w:val="20"/>
                <w:szCs w:val="20"/>
              </w:rPr>
              <w:t xml:space="preserve"> RCE (right) for Case 32 (TBS =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sz w:val="20"/>
                <w:szCs w:val="20"/>
              </w:rPr>
              <w:t xml:space="preserve">0 Bytes with </w:t>
            </w:r>
            <w:r>
              <w:rPr>
                <w:rFonts w:eastAsia="SimSun"/>
                <w:sz w:val="20"/>
                <w:szCs w:val="20"/>
                <w:lang w:val="en-US" w:eastAsia="zh-CN"/>
              </w:rPr>
              <w:t xml:space="preserve">Gaussian distributed avg. </w:t>
            </w:r>
            <w:r>
              <w:rPr>
                <w:sz w:val="20"/>
                <w:szCs w:val="20"/>
              </w:rPr>
              <w:t xml:space="preserve">SNR Rx = 2) with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EPA</w:t>
            </w:r>
            <w:r>
              <w:rPr>
                <w:rFonts w:eastAsia="SimSun"/>
                <w:sz w:val="20"/>
                <w:szCs w:val="20"/>
                <w:lang w:val="en-US" w:eastAsia="zh-CN"/>
              </w:rPr>
              <w:t xml:space="preserve"> receiver</w:t>
            </w:r>
          </w:p>
        </w:tc>
      </w:tr>
      <w:tr w:rsidR="00033CFD">
        <w:trPr>
          <w:trHeight w:val="2343"/>
          <w:jc w:val="center"/>
        </w:trPr>
        <w:tc>
          <w:tcPr>
            <w:tcW w:w="3960" w:type="dxa"/>
          </w:tcPr>
          <w:p w:rsidR="00033CFD" w:rsidRDefault="00E811E3">
            <w:pPr>
              <w:widowControl w:val="0"/>
              <w:snapToGrid w:val="0"/>
              <w:spacing w:after="0" w:line="240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18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 w:rsidR="00033CFD" w:rsidRDefault="00E811E3">
            <w:pPr>
              <w:keepNext/>
              <w:widowControl w:val="0"/>
              <w:snapToGrid w:val="0"/>
              <w:spacing w:after="0" w:line="240" w:lineRule="auto"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17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CFD">
        <w:trPr>
          <w:trHeight w:val="293"/>
          <w:jc w:val="center"/>
        </w:trPr>
        <w:tc>
          <w:tcPr>
            <w:tcW w:w="7920" w:type="dxa"/>
            <w:gridSpan w:val="2"/>
          </w:tcPr>
          <w:p w:rsidR="00033CFD" w:rsidRDefault="00E811E3">
            <w:pPr>
              <w:widowControl w:val="0"/>
              <w:snapToGrid w:val="0"/>
              <w:spacing w:after="0" w:line="240" w:lineRule="auto"/>
              <w:jc w:val="center"/>
              <w:rPr>
                <w:rFonts w:eastAsia="SimSun"/>
                <w:b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Figure </w:t>
            </w:r>
            <w:r w:rsidR="00033CFD"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SEQ Figure \* ARABIC </w:instrText>
            </w:r>
            <w:r w:rsidR="00033CFD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6</w:t>
            </w:r>
            <w:r w:rsidR="00033CFD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LLS results of both ICE (left) and RCE (right) for Case 33 (TBS =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sz w:val="20"/>
                <w:szCs w:val="20"/>
              </w:rPr>
              <w:t xml:space="preserve">0 Bytes with </w:t>
            </w:r>
            <w:r>
              <w:rPr>
                <w:rFonts w:eastAsia="SimSun"/>
                <w:sz w:val="20"/>
                <w:szCs w:val="20"/>
                <w:lang w:val="en-US" w:eastAsia="zh-CN"/>
              </w:rPr>
              <w:t xml:space="preserve">Gaussian distributed avg. </w:t>
            </w:r>
            <w:r>
              <w:rPr>
                <w:sz w:val="20"/>
                <w:szCs w:val="20"/>
              </w:rPr>
              <w:t xml:space="preserve">SNR Rx = 2) with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EPA</w:t>
            </w:r>
            <w:r>
              <w:rPr>
                <w:rFonts w:eastAsia="SimSun"/>
                <w:sz w:val="20"/>
                <w:szCs w:val="20"/>
                <w:lang w:val="en-US" w:eastAsia="zh-CN"/>
              </w:rPr>
              <w:t xml:space="preserve"> receiver.</w:t>
            </w:r>
          </w:p>
        </w:tc>
      </w:tr>
    </w:tbl>
    <w:p w:rsidR="00033CFD" w:rsidRDefault="00033CFD">
      <w:pPr>
        <w:snapToGrid w:val="0"/>
        <w:spacing w:after="100" w:afterAutospacing="1" w:line="240" w:lineRule="auto"/>
        <w:rPr>
          <w:rFonts w:eastAsia="SimSun"/>
          <w:sz w:val="20"/>
          <w:lang w:val="en-US" w:eastAsia="zh-CN"/>
        </w:rPr>
      </w:pPr>
    </w:p>
    <w:p w:rsidR="00033CFD" w:rsidRDefault="00E811E3">
      <w:pPr>
        <w:snapToGrid w:val="0"/>
        <w:spacing w:after="100" w:afterAutospacing="1" w:line="240" w:lineRule="auto"/>
        <w:rPr>
          <w:rFonts w:eastAsia="SimSun"/>
          <w:sz w:val="20"/>
          <w:lang w:val="en-US" w:eastAsia="zh-CN"/>
        </w:rPr>
      </w:pPr>
      <w:r>
        <w:rPr>
          <w:rFonts w:eastAsia="SimSun" w:hint="eastAsia"/>
          <w:sz w:val="20"/>
          <w:lang w:val="en-US" w:eastAsia="zh-CN"/>
        </w:rPr>
        <w:t>Similarly, with the increas</w:t>
      </w:r>
      <w:r>
        <w:rPr>
          <w:rFonts w:eastAsia="SimSun"/>
          <w:sz w:val="20"/>
          <w:lang w:val="en-US" w:eastAsia="zh-CN"/>
        </w:rPr>
        <w:t>ed</w:t>
      </w:r>
      <w:r>
        <w:rPr>
          <w:rFonts w:eastAsia="SimSun" w:hint="eastAsia"/>
          <w:sz w:val="20"/>
          <w:lang w:val="en-US" w:eastAsia="zh-CN"/>
        </w:rPr>
        <w:t xml:space="preserve"> </w:t>
      </w:r>
      <w:r>
        <w:rPr>
          <w:rFonts w:eastAsia="SimSun"/>
          <w:sz w:val="20"/>
          <w:lang w:val="en-US" w:eastAsia="zh-CN"/>
        </w:rPr>
        <w:t xml:space="preserve">number </w:t>
      </w:r>
      <w:r>
        <w:rPr>
          <w:rFonts w:eastAsia="SimSun" w:hint="eastAsia"/>
          <w:sz w:val="20"/>
          <w:lang w:val="en-US" w:eastAsia="zh-CN"/>
        </w:rPr>
        <w:t xml:space="preserve">of Rx </w:t>
      </w:r>
      <w:r>
        <w:rPr>
          <w:rFonts w:eastAsia="SimSun"/>
          <w:sz w:val="20"/>
          <w:lang w:val="en-US" w:eastAsia="zh-CN"/>
        </w:rPr>
        <w:t>antennas</w:t>
      </w:r>
      <w:r>
        <w:rPr>
          <w:rFonts w:eastAsia="SimSun" w:hint="eastAsia"/>
          <w:sz w:val="20"/>
          <w:lang w:val="en-US" w:eastAsia="zh-CN"/>
        </w:rPr>
        <w:t xml:space="preserve"> (i.e.,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rFonts w:eastAsia="SimSun" w:hint="eastAsia"/>
          <w:sz w:val="20"/>
          <w:lang w:val="en-US" w:eastAsia="zh-CN"/>
        </w:rPr>
        <w:t xml:space="preserve">4 Rx), the BLER performance </w:t>
      </w:r>
      <w:r>
        <w:rPr>
          <w:rFonts w:eastAsia="SimSun"/>
          <w:sz w:val="20"/>
          <w:lang w:val="en-US" w:eastAsia="zh-CN"/>
        </w:rPr>
        <w:t xml:space="preserve">is improved as shown </w:t>
      </w:r>
      <w:bookmarkStart w:id="3" w:name="_GoBack"/>
      <w:bookmarkEnd w:id="3"/>
      <w:r>
        <w:rPr>
          <w:rFonts w:eastAsia="SimSun"/>
          <w:sz w:val="20"/>
          <w:lang w:val="en-US" w:eastAsia="zh-CN"/>
        </w:rPr>
        <w:t xml:space="preserve">in </w:t>
      </w:r>
      <w:r>
        <w:rPr>
          <w:rFonts w:eastAsia="SimSun" w:hint="eastAsia"/>
          <w:sz w:val="20"/>
          <w:lang w:val="en-US" w:eastAsia="zh-CN"/>
        </w:rPr>
        <w:t>Figure 7</w:t>
      </w:r>
      <w:r>
        <w:rPr>
          <w:rFonts w:eastAsia="SimSun"/>
          <w:sz w:val="20"/>
          <w:lang w:val="en-US" w:eastAsia="zh-CN"/>
        </w:rPr>
        <w:t xml:space="preserve"> and </w:t>
      </w:r>
      <w:r>
        <w:rPr>
          <w:rFonts w:eastAsia="SimSun" w:hint="eastAsia"/>
          <w:sz w:val="20"/>
          <w:lang w:val="en-US" w:eastAsia="zh-CN"/>
        </w:rPr>
        <w:t>Figure 8. Besides, the performance gap between ICE and RCE is less than 0.5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rFonts w:eastAsia="SimSun" w:hint="eastAsia"/>
          <w:sz w:val="20"/>
          <w:lang w:val="en-US" w:eastAsia="zh-CN"/>
        </w:rPr>
        <w:t>dB.</w:t>
      </w:r>
    </w:p>
    <w:p w:rsidR="00033CFD" w:rsidRDefault="00033CFD">
      <w:pPr>
        <w:snapToGrid w:val="0"/>
        <w:spacing w:after="0" w:line="240" w:lineRule="auto"/>
        <w:rPr>
          <w:rFonts w:eastAsiaTheme="minorEastAsia"/>
          <w:b/>
          <w:i/>
          <w:sz w:val="20"/>
          <w:lang w:val="en-US" w:eastAsia="zh-CN"/>
        </w:rPr>
      </w:pPr>
    </w:p>
    <w:tbl>
      <w:tblPr>
        <w:tblStyle w:val="TableGrid"/>
        <w:tblW w:w="79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960"/>
        <w:gridCol w:w="3960"/>
      </w:tblGrid>
      <w:tr w:rsidR="00033CFD">
        <w:trPr>
          <w:trHeight w:val="2343"/>
          <w:jc w:val="center"/>
        </w:trPr>
        <w:tc>
          <w:tcPr>
            <w:tcW w:w="3960" w:type="dxa"/>
          </w:tcPr>
          <w:p w:rsidR="00033CFD" w:rsidRDefault="00E811E3">
            <w:pPr>
              <w:widowControl w:val="0"/>
              <w:snapToGrid w:val="0"/>
              <w:spacing w:after="0" w:line="240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20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 w:rsidR="00033CFD" w:rsidRDefault="00E811E3">
            <w:pPr>
              <w:keepNext/>
              <w:widowControl w:val="0"/>
              <w:snapToGrid w:val="0"/>
              <w:spacing w:after="0" w:line="240" w:lineRule="auto"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21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CFD">
        <w:trPr>
          <w:trHeight w:val="293"/>
          <w:jc w:val="center"/>
        </w:trPr>
        <w:tc>
          <w:tcPr>
            <w:tcW w:w="7920" w:type="dxa"/>
            <w:gridSpan w:val="2"/>
          </w:tcPr>
          <w:p w:rsidR="00033CFD" w:rsidRDefault="00E811E3">
            <w:pPr>
              <w:widowControl w:val="0"/>
              <w:snapToGrid w:val="0"/>
              <w:spacing w:after="0" w:line="240" w:lineRule="auto"/>
              <w:jc w:val="center"/>
              <w:rPr>
                <w:rFonts w:eastAsia="SimSun"/>
                <w:b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Figure </w:t>
            </w:r>
            <w:r w:rsidR="00033CFD"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SEQ Figure \* ARABIC </w:instrText>
            </w:r>
            <w:r w:rsidR="00033CFD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7</w:t>
            </w:r>
            <w:r w:rsidR="00033CFD">
              <w:rPr>
                <w:sz w:val="20"/>
                <w:szCs w:val="20"/>
              </w:rPr>
              <w:fldChar w:fldCharType="end"/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LLS results of ICE (left) and RCE (right) for Case 34 (TBS =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sz w:val="20"/>
                <w:szCs w:val="20"/>
              </w:rPr>
              <w:t xml:space="preserve">0 Bytes with </w:t>
            </w:r>
            <w:r>
              <w:rPr>
                <w:rFonts w:eastAsia="SimSun"/>
                <w:sz w:val="20"/>
                <w:szCs w:val="20"/>
                <w:lang w:val="en-US" w:eastAsia="zh-CN"/>
              </w:rPr>
              <w:t>Gaussian distributed avg.</w:t>
            </w:r>
            <w:r>
              <w:rPr>
                <w:sz w:val="20"/>
                <w:szCs w:val="20"/>
              </w:rPr>
              <w:t xml:space="preserve"> SNR, Rx =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sz w:val="20"/>
                <w:szCs w:val="20"/>
              </w:rPr>
              <w:t xml:space="preserve">) with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EPA</w:t>
            </w:r>
            <w:r>
              <w:rPr>
                <w:rFonts w:eastAsia="SimSun"/>
                <w:sz w:val="20"/>
                <w:szCs w:val="20"/>
                <w:lang w:val="en-US" w:eastAsia="zh-CN"/>
              </w:rPr>
              <w:t xml:space="preserve"> receiver.</w:t>
            </w:r>
          </w:p>
        </w:tc>
      </w:tr>
      <w:tr w:rsidR="00033CFD">
        <w:trPr>
          <w:trHeight w:val="2343"/>
          <w:jc w:val="center"/>
        </w:trPr>
        <w:tc>
          <w:tcPr>
            <w:tcW w:w="3960" w:type="dxa"/>
          </w:tcPr>
          <w:p w:rsidR="00033CFD" w:rsidRDefault="00E811E3">
            <w:pPr>
              <w:widowControl w:val="0"/>
              <w:snapToGrid w:val="0"/>
              <w:spacing w:after="0" w:line="240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16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 w:rsidR="00033CFD" w:rsidRDefault="00E811E3">
            <w:pPr>
              <w:keepNext/>
              <w:widowControl w:val="0"/>
              <w:snapToGrid w:val="0"/>
              <w:spacing w:after="0" w:line="240" w:lineRule="auto"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114300" distR="114300">
                  <wp:extent cx="2512060" cy="1884045"/>
                  <wp:effectExtent l="0" t="0" r="2540" b="1905"/>
                  <wp:docPr id="19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88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CFD">
        <w:trPr>
          <w:trHeight w:val="611"/>
          <w:jc w:val="center"/>
        </w:trPr>
        <w:tc>
          <w:tcPr>
            <w:tcW w:w="7920" w:type="dxa"/>
            <w:gridSpan w:val="2"/>
          </w:tcPr>
          <w:p w:rsidR="00033CFD" w:rsidRDefault="00E811E3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Figure </w:t>
            </w:r>
            <w:r w:rsidR="00033CFD"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SEQ Figure \* ARABIC </w:instrText>
            </w:r>
            <w:r w:rsidR="00033CFD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8</w:t>
            </w:r>
            <w:r w:rsidR="00033CFD">
              <w:rPr>
                <w:sz w:val="20"/>
                <w:szCs w:val="20"/>
              </w:rPr>
              <w:fldChar w:fldCharType="end"/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LLS results of ICE (left) and RCE (right) for Case 35 (TBS =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sz w:val="20"/>
                <w:szCs w:val="20"/>
              </w:rPr>
              <w:t xml:space="preserve">0 Bytes with </w:t>
            </w:r>
            <w:r>
              <w:rPr>
                <w:rFonts w:eastAsia="SimSun"/>
                <w:sz w:val="20"/>
                <w:szCs w:val="20"/>
                <w:lang w:val="en-US" w:eastAsia="zh-CN"/>
              </w:rPr>
              <w:t xml:space="preserve">Gaussian distributed avg. </w:t>
            </w:r>
            <w:r>
              <w:rPr>
                <w:sz w:val="20"/>
                <w:szCs w:val="20"/>
              </w:rPr>
              <w:t xml:space="preserve">SNR, Rx =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sz w:val="20"/>
                <w:szCs w:val="20"/>
              </w:rPr>
              <w:t xml:space="preserve">) with </w:t>
            </w: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EPA</w:t>
            </w:r>
            <w:r>
              <w:rPr>
                <w:rFonts w:eastAsia="SimSun"/>
                <w:sz w:val="20"/>
                <w:szCs w:val="20"/>
                <w:lang w:val="en-US" w:eastAsia="zh-CN"/>
              </w:rPr>
              <w:t xml:space="preserve"> receiver.</w:t>
            </w:r>
          </w:p>
        </w:tc>
      </w:tr>
    </w:tbl>
    <w:p w:rsidR="00033CFD" w:rsidRDefault="00033CFD">
      <w:pPr>
        <w:snapToGrid w:val="0"/>
        <w:spacing w:after="0" w:line="240" w:lineRule="auto"/>
        <w:rPr>
          <w:rFonts w:eastAsiaTheme="minorEastAsia"/>
          <w:b/>
          <w:i/>
          <w:sz w:val="20"/>
          <w:lang w:val="en-US" w:eastAsia="zh-CN"/>
        </w:rPr>
      </w:pPr>
    </w:p>
    <w:p w:rsidR="00033CFD" w:rsidRDefault="00E811E3">
      <w:pPr>
        <w:snapToGrid w:val="0"/>
        <w:spacing w:after="0" w:line="240" w:lineRule="auto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Observation 2: </w:t>
      </w:r>
    </w:p>
    <w:p w:rsidR="00033CFD" w:rsidRDefault="00E811E3">
      <w:pPr>
        <w:snapToGrid w:val="0"/>
        <w:spacing w:after="0" w:line="240" w:lineRule="auto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BLER &lt; 10% can be achieved for Case 32~Case 35 (of 9 dB standard deviation of Gaussian distributed avg. </w:t>
      </w:r>
      <w:r>
        <w:rPr>
          <w:rFonts w:eastAsiaTheme="minorEastAsia"/>
          <w:i/>
          <w:sz w:val="20"/>
          <w:lang w:val="en-US" w:eastAsia="zh-CN"/>
        </w:rPr>
        <w:t>SNR) with realistic channel estimation and EPA receiver.</w:t>
      </w:r>
    </w:p>
    <w:p w:rsidR="00033CFD" w:rsidRDefault="00E811E3">
      <w:pPr>
        <w:pStyle w:val="Heading1"/>
        <w:pBdr>
          <w:top w:val="single" w:sz="12" w:space="13" w:color="auto"/>
        </w:pBdr>
        <w:snapToGrid w:val="0"/>
        <w:spacing w:before="0" w:after="120" w:line="264" w:lineRule="auto"/>
        <w:ind w:left="619" w:hanging="619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:rsidR="00033CFD" w:rsidRDefault="00E811E3" w:rsidP="00E811E3">
      <w:pPr>
        <w:snapToGrid w:val="0"/>
        <w:spacing w:afterLines="5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In this contribution, we provided some link level simulations and preliminary performance comparisons among different NOMA schemes from various aspects. Some proposals and observations </w:t>
      </w:r>
      <w:r>
        <w:rPr>
          <w:rFonts w:eastAsia="SimSun"/>
          <w:sz w:val="20"/>
          <w:lang w:eastAsia="zh-CN"/>
        </w:rPr>
        <w:t>were made as follows.</w:t>
      </w:r>
    </w:p>
    <w:p w:rsidR="00033CFD" w:rsidRDefault="00E811E3">
      <w:pPr>
        <w:snapToGrid w:val="0"/>
        <w:spacing w:after="0" w:line="240" w:lineRule="auto"/>
        <w:rPr>
          <w:rFonts w:eastAsiaTheme="minorEastAsia"/>
          <w:i/>
          <w:sz w:val="20"/>
          <w:lang w:val="en-US" w:eastAsia="zh-CN"/>
        </w:rPr>
      </w:pPr>
      <w:bookmarkStart w:id="4" w:name="OLE_LINK4"/>
      <w:r>
        <w:rPr>
          <w:rFonts w:eastAsiaTheme="minorEastAsia"/>
          <w:b/>
          <w:i/>
          <w:sz w:val="20"/>
          <w:lang w:val="en-US" w:eastAsia="zh-CN"/>
        </w:rPr>
        <w:t xml:space="preserve">Observation 1: </w:t>
      </w:r>
      <w:r>
        <w:rPr>
          <w:rFonts w:eastAsiaTheme="minorEastAsia"/>
          <w:i/>
          <w:sz w:val="20"/>
          <w:lang w:val="en-US" w:eastAsia="zh-CN"/>
        </w:rPr>
        <w:t>BLER &lt; 10% can be achieved for Case 32~C</w:t>
      </w:r>
      <w:r>
        <w:rPr>
          <w:rFonts w:eastAsiaTheme="minorEastAsia"/>
          <w:i/>
          <w:sz w:val="20"/>
          <w:lang w:val="en-US" w:eastAsia="zh-CN"/>
        </w:rPr>
        <w:t>ase 35 (</w:t>
      </w:r>
      <w:r>
        <w:rPr>
          <w:rFonts w:eastAsiaTheme="minorEastAsia" w:hint="eastAsia"/>
          <w:i/>
          <w:sz w:val="20"/>
          <w:lang w:val="en-US" w:eastAsia="zh-CN"/>
        </w:rPr>
        <w:t xml:space="preserve">up to </w:t>
      </w:r>
      <w:r>
        <w:rPr>
          <w:rFonts w:eastAsiaTheme="minorEastAsia"/>
          <w:i/>
          <w:sz w:val="20"/>
          <w:lang w:val="en-US" w:eastAsia="zh-CN"/>
        </w:rPr>
        <w:t>9 dB standard deviation of Gaussian distributed avg. SNR) with realistic channel estimation and MMSE-SIC receiver</w:t>
      </w:r>
    </w:p>
    <w:p w:rsidR="00033CFD" w:rsidRDefault="00033CFD">
      <w:pPr>
        <w:snapToGrid w:val="0"/>
        <w:spacing w:after="0" w:line="240" w:lineRule="auto"/>
        <w:rPr>
          <w:rFonts w:eastAsiaTheme="minorEastAsia"/>
          <w:i/>
          <w:sz w:val="20"/>
          <w:lang w:val="en-US" w:eastAsia="zh-CN"/>
        </w:rPr>
      </w:pPr>
    </w:p>
    <w:bookmarkEnd w:id="4"/>
    <w:p w:rsidR="00033CFD" w:rsidRDefault="00E811E3">
      <w:pPr>
        <w:snapToGrid w:val="0"/>
        <w:spacing w:after="0" w:line="240" w:lineRule="auto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Observation 2: </w:t>
      </w:r>
      <w:r>
        <w:rPr>
          <w:rFonts w:eastAsiaTheme="minorEastAsia"/>
          <w:i/>
          <w:sz w:val="20"/>
          <w:lang w:val="en-US" w:eastAsia="zh-CN"/>
        </w:rPr>
        <w:t>BLER &lt; 10% can be achieved for C</w:t>
      </w:r>
      <w:r>
        <w:rPr>
          <w:rFonts w:eastAsiaTheme="minorEastAsia"/>
          <w:i/>
          <w:sz w:val="20"/>
          <w:lang w:val="en-US" w:eastAsia="zh-CN"/>
        </w:rPr>
        <w:t>ase 32~Case 35 (</w:t>
      </w:r>
      <w:r>
        <w:rPr>
          <w:rFonts w:eastAsiaTheme="minorEastAsia" w:hint="eastAsia"/>
          <w:i/>
          <w:sz w:val="20"/>
          <w:lang w:val="en-US" w:eastAsia="zh-CN"/>
        </w:rPr>
        <w:t>up to</w:t>
      </w:r>
      <w:r>
        <w:rPr>
          <w:rFonts w:eastAsiaTheme="minorEastAsia"/>
          <w:i/>
          <w:sz w:val="20"/>
          <w:lang w:val="en-US" w:eastAsia="zh-CN"/>
        </w:rPr>
        <w:t xml:space="preserve"> 9 dB standard deviation of Gaussian distributed avg. SNR) with realistic channel estimation and EPA receiver</w:t>
      </w:r>
    </w:p>
    <w:p w:rsidR="00033CFD" w:rsidRDefault="00033CFD">
      <w:pPr>
        <w:snapToGrid w:val="0"/>
        <w:spacing w:after="0" w:line="240" w:lineRule="auto"/>
        <w:rPr>
          <w:rFonts w:eastAsiaTheme="minorEastAsia"/>
          <w:i/>
          <w:sz w:val="20"/>
          <w:lang w:val="en-US" w:eastAsia="zh-CN"/>
        </w:rPr>
      </w:pPr>
    </w:p>
    <w:p w:rsidR="00033CFD" w:rsidRDefault="00033CFD" w:rsidP="00E811E3">
      <w:pPr>
        <w:snapToGrid w:val="0"/>
        <w:spacing w:afterLines="50"/>
        <w:rPr>
          <w:rFonts w:eastAsia="SimSun"/>
          <w:sz w:val="20"/>
          <w:lang w:eastAsia="zh-CN"/>
        </w:rPr>
      </w:pPr>
    </w:p>
    <w:p w:rsidR="00033CFD" w:rsidRDefault="00E811E3">
      <w:pPr>
        <w:pStyle w:val="Heading1"/>
        <w:pBdr>
          <w:top w:val="single" w:sz="12" w:space="13" w:color="auto"/>
        </w:pBdr>
        <w:snapToGrid w:val="0"/>
        <w:spacing w:before="0" w:after="120" w:line="264" w:lineRule="auto"/>
        <w:ind w:left="619" w:hanging="619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:rsidR="00033CFD" w:rsidRDefault="00E811E3">
      <w:pPr>
        <w:pStyle w:val="1"/>
        <w:numPr>
          <w:ilvl w:val="0"/>
          <w:numId w:val="4"/>
        </w:numPr>
        <w:snapToGrid w:val="0"/>
        <w:spacing w:line="264" w:lineRule="auto"/>
        <w:ind w:left="418" w:firstLineChars="0" w:hanging="418"/>
        <w:rPr>
          <w:rFonts w:ascii="Times New Roman" w:hAnsi="Times New Roman"/>
          <w:sz w:val="20"/>
          <w:szCs w:val="20"/>
        </w:rPr>
      </w:pPr>
      <w:bookmarkStart w:id="5" w:name="_Ref510733273"/>
      <w:r>
        <w:rPr>
          <w:rFonts w:ascii="Times New Roman" w:hAnsi="Times New Roman"/>
          <w:sz w:val="20"/>
          <w:szCs w:val="20"/>
        </w:rPr>
        <w:t>3GPP Chairman’s Notes RAN1#92, Feb. 2018.</w:t>
      </w:r>
      <w:bookmarkEnd w:id="5"/>
    </w:p>
    <w:p w:rsidR="00033CFD" w:rsidRDefault="00E811E3">
      <w:pPr>
        <w:pStyle w:val="1"/>
        <w:numPr>
          <w:ilvl w:val="0"/>
          <w:numId w:val="4"/>
        </w:numPr>
        <w:snapToGrid w:val="0"/>
        <w:spacing w:line="264" w:lineRule="auto"/>
        <w:ind w:left="418" w:firstLineChars="0" w:hanging="418"/>
        <w:rPr>
          <w:rFonts w:ascii="Times New Roman" w:hAnsi="Times New Roman"/>
          <w:sz w:val="20"/>
          <w:szCs w:val="20"/>
        </w:rPr>
      </w:pPr>
      <w:bookmarkStart w:id="6" w:name="_Ref513570227"/>
      <w:r>
        <w:rPr>
          <w:rFonts w:ascii="Times New Roman" w:hAnsi="Times New Roman"/>
          <w:sz w:val="20"/>
          <w:szCs w:val="20"/>
        </w:rPr>
        <w:t>3GPP Chairman’s Notes RAN1#92bis, April. 2018.</w:t>
      </w:r>
      <w:bookmarkEnd w:id="6"/>
    </w:p>
    <w:p w:rsidR="00033CFD" w:rsidRDefault="00E811E3">
      <w:pPr>
        <w:pStyle w:val="1"/>
        <w:numPr>
          <w:ilvl w:val="0"/>
          <w:numId w:val="4"/>
        </w:numPr>
        <w:snapToGrid w:val="0"/>
        <w:spacing w:line="264" w:lineRule="auto"/>
        <w:ind w:left="418" w:firstLineChars="0" w:hanging="418"/>
        <w:rPr>
          <w:rFonts w:ascii="Times New Roman" w:hAnsi="Times New Roman"/>
          <w:sz w:val="20"/>
          <w:szCs w:val="20"/>
        </w:rPr>
      </w:pPr>
      <w:bookmarkStart w:id="7" w:name="_Ref525893612"/>
      <w:r>
        <w:rPr>
          <w:rFonts w:ascii="Times New Roman" w:hAnsi="Times New Roman"/>
          <w:sz w:val="20"/>
          <w:szCs w:val="20"/>
        </w:rPr>
        <w:t xml:space="preserve">3GPP Chairman’s Notes </w:t>
      </w:r>
      <w:r>
        <w:rPr>
          <w:rFonts w:ascii="Times New Roman" w:hAnsi="Times New Roman"/>
          <w:sz w:val="20"/>
          <w:szCs w:val="20"/>
        </w:rPr>
        <w:t>RAN1#94, Aug. 2018.</w:t>
      </w:r>
      <w:bookmarkEnd w:id="7"/>
    </w:p>
    <w:p w:rsidR="00033CFD" w:rsidRDefault="00E811E3">
      <w:pPr>
        <w:pStyle w:val="1"/>
        <w:numPr>
          <w:ilvl w:val="0"/>
          <w:numId w:val="4"/>
        </w:numPr>
        <w:snapToGrid w:val="0"/>
        <w:spacing w:line="264" w:lineRule="auto"/>
        <w:ind w:left="418" w:firstLineChars="0" w:hanging="418"/>
        <w:rPr>
          <w:rFonts w:ascii="Times New Roman" w:hAnsi="Times New Roman"/>
          <w:sz w:val="20"/>
          <w:szCs w:val="20"/>
        </w:rPr>
      </w:pPr>
      <w:bookmarkStart w:id="8" w:name="_Ref525893712"/>
      <w:r>
        <w:rPr>
          <w:rFonts w:ascii="Times New Roman" w:hAnsi="Times New Roman" w:hint="eastAsia"/>
          <w:sz w:val="20"/>
          <w:szCs w:val="20"/>
          <w:lang w:eastAsia="zh-CN"/>
        </w:rPr>
        <w:t>3GPP R1-1810205</w:t>
      </w:r>
      <w:r>
        <w:rPr>
          <w:rFonts w:ascii="Times New Roman" w:hAnsi="Times New Roman"/>
          <w:sz w:val="20"/>
          <w:szCs w:val="20"/>
          <w:lang w:eastAsia="zh-CN"/>
        </w:rPr>
        <w:t xml:space="preserve"> Link and system simulation results summary for NOMA, ZTE</w:t>
      </w:r>
      <w:bookmarkEnd w:id="8"/>
      <w:r>
        <w:rPr>
          <w:rFonts w:ascii="Times New Roman" w:hAnsi="Times New Roman"/>
          <w:sz w:val="20"/>
          <w:szCs w:val="20"/>
          <w:lang w:eastAsia="zh-CN"/>
        </w:rPr>
        <w:t>, RAN1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#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94bis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,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</w:t>
      </w:r>
      <w:bookmarkStart w:id="9" w:name="OLE_LINK1"/>
      <w:r>
        <w:rPr>
          <w:rFonts w:ascii="Times New Roman" w:hAnsi="Times New Roman" w:hint="eastAsia"/>
          <w:sz w:val="20"/>
          <w:szCs w:val="20"/>
          <w:lang w:val="en-US" w:eastAsia="zh-CN"/>
        </w:rPr>
        <w:t>October, 2018</w:t>
      </w:r>
      <w:bookmarkEnd w:id="9"/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p w:rsidR="00033CFD" w:rsidRDefault="00E811E3">
      <w:pPr>
        <w:pStyle w:val="1"/>
        <w:numPr>
          <w:ilvl w:val="0"/>
          <w:numId w:val="4"/>
        </w:numPr>
        <w:snapToGrid w:val="0"/>
        <w:spacing w:line="264" w:lineRule="auto"/>
        <w:ind w:firstLineChars="0"/>
        <w:rPr>
          <w:rFonts w:ascii="Times New Roman" w:hAnsi="Times New Roman"/>
          <w:sz w:val="20"/>
          <w:szCs w:val="20"/>
        </w:rPr>
      </w:pPr>
      <w:bookmarkStart w:id="10" w:name="_Ref525896710"/>
      <w:r>
        <w:rPr>
          <w:rFonts w:ascii="Times New Roman" w:hAnsi="Times New Roman"/>
          <w:sz w:val="20"/>
          <w:szCs w:val="20"/>
        </w:rPr>
        <w:t>3GPP R1-1810204 Procedures related to NOMA</w:t>
      </w:r>
      <w:r>
        <w:rPr>
          <w:rFonts w:ascii="Times New Roman" w:hAnsi="Times New Roman"/>
          <w:sz w:val="20"/>
          <w:szCs w:val="20"/>
          <w:lang w:eastAsia="zh-CN"/>
        </w:rPr>
        <w:t>, ZTE</w:t>
      </w:r>
      <w:bookmarkEnd w:id="10"/>
      <w:r>
        <w:rPr>
          <w:rFonts w:ascii="Times New Roman" w:hAnsi="Times New Roman"/>
          <w:sz w:val="20"/>
          <w:szCs w:val="20"/>
          <w:lang w:eastAsia="zh-CN"/>
        </w:rPr>
        <w:t>, RAN1#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94bis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, October, 2018.</w:t>
      </w:r>
    </w:p>
    <w:p w:rsidR="00033CFD" w:rsidRDefault="00E811E3">
      <w:pPr>
        <w:pStyle w:val="1"/>
        <w:numPr>
          <w:ilvl w:val="0"/>
          <w:numId w:val="4"/>
        </w:numPr>
        <w:snapToGrid w:val="0"/>
        <w:spacing w:line="264" w:lineRule="auto"/>
        <w:ind w:firstLineChars="0"/>
        <w:rPr>
          <w:rFonts w:ascii="Times New Roman" w:hAnsi="Times New Roman"/>
          <w:sz w:val="20"/>
          <w:szCs w:val="20"/>
        </w:rPr>
      </w:pPr>
      <w:bookmarkStart w:id="11" w:name="_Ref513839138"/>
      <w:r>
        <w:rPr>
          <w:rFonts w:ascii="Times New Roman" w:hAnsi="Times New Roman"/>
          <w:sz w:val="20"/>
          <w:szCs w:val="20"/>
        </w:rPr>
        <w:lastRenderedPageBreak/>
        <w:t xml:space="preserve">3GPP R1-1805840, Key processing modules at transmitter </w:t>
      </w:r>
      <w:r>
        <w:rPr>
          <w:rFonts w:ascii="Times New Roman" w:hAnsi="Times New Roman"/>
          <w:sz w:val="20"/>
          <w:szCs w:val="20"/>
        </w:rPr>
        <w:t>side for NOMA, ZTE</w:t>
      </w:r>
      <w:bookmarkEnd w:id="11"/>
      <w:r>
        <w:rPr>
          <w:rFonts w:ascii="Times New Roman" w:hAnsi="Times New Roman"/>
          <w:sz w:val="20"/>
          <w:szCs w:val="20"/>
        </w:rPr>
        <w:t>, RAN1#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94bis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, October, 2018.</w:t>
      </w:r>
    </w:p>
    <w:p w:rsidR="00033CFD" w:rsidRDefault="00E811E3">
      <w:pPr>
        <w:pStyle w:val="Heading1"/>
        <w:numPr>
          <w:ilvl w:val="0"/>
          <w:numId w:val="0"/>
        </w:numPr>
        <w:pBdr>
          <w:top w:val="single" w:sz="12" w:space="13" w:color="auto"/>
        </w:pBdr>
        <w:snapToGrid w:val="0"/>
        <w:spacing w:before="0" w:after="120" w:line="264" w:lineRule="auto"/>
        <w:ind w:left="612" w:hanging="432"/>
        <w:rPr>
          <w:rFonts w:ascii="Times New Roman" w:hAnsi="Times New Roman"/>
        </w:rPr>
      </w:pPr>
      <w:r>
        <w:rPr>
          <w:rFonts w:ascii="Times New Roman" w:hAnsi="Times New Roman"/>
        </w:rPr>
        <w:t>Appendix</w:t>
      </w:r>
    </w:p>
    <w:p w:rsidR="00033CFD" w:rsidRDefault="00E811E3">
      <w:pPr>
        <w:pStyle w:val="Caption"/>
        <w:keepNext/>
        <w:jc w:val="center"/>
        <w:rPr>
          <w:b w:val="0"/>
          <w:sz w:val="20"/>
          <w:szCs w:val="20"/>
        </w:rPr>
      </w:pPr>
      <w:bookmarkStart w:id="12" w:name="_Ref525893380"/>
      <w:r>
        <w:rPr>
          <w:b w:val="0"/>
          <w:sz w:val="20"/>
          <w:szCs w:val="20"/>
        </w:rPr>
        <w:t xml:space="preserve">Table </w:t>
      </w:r>
      <w:r w:rsidR="00033CFD">
        <w:rPr>
          <w:b w:val="0"/>
          <w:sz w:val="20"/>
          <w:szCs w:val="20"/>
        </w:rPr>
        <w:fldChar w:fldCharType="begin"/>
      </w:r>
      <w:r>
        <w:rPr>
          <w:b w:val="0"/>
          <w:sz w:val="20"/>
          <w:szCs w:val="20"/>
        </w:rPr>
        <w:instrText xml:space="preserve"> SEQ Table \* ARABIC </w:instrText>
      </w:r>
      <w:r w:rsidR="00033CFD">
        <w:rPr>
          <w:b w:val="0"/>
          <w:sz w:val="20"/>
          <w:szCs w:val="20"/>
        </w:rPr>
        <w:fldChar w:fldCharType="separate"/>
      </w:r>
      <w:r>
        <w:rPr>
          <w:b w:val="0"/>
          <w:sz w:val="20"/>
          <w:szCs w:val="20"/>
        </w:rPr>
        <w:t>1</w:t>
      </w:r>
      <w:r w:rsidR="00033CFD">
        <w:rPr>
          <w:b w:val="0"/>
          <w:sz w:val="20"/>
          <w:szCs w:val="20"/>
        </w:rPr>
        <w:fldChar w:fldCharType="end"/>
      </w:r>
      <w:bookmarkEnd w:id="12"/>
      <w:r>
        <w:rPr>
          <w:b w:val="0"/>
          <w:sz w:val="20"/>
          <w:szCs w:val="20"/>
        </w:rPr>
        <w:t xml:space="preserve"> Simulation assumptions used for preliminary evaluations</w:t>
      </w:r>
    </w:p>
    <w:tbl>
      <w:tblPr>
        <w:tblW w:w="843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398"/>
        <w:gridCol w:w="1984"/>
        <w:gridCol w:w="1948"/>
        <w:gridCol w:w="2104"/>
      </w:tblGrid>
      <w:tr w:rsidR="00033CFD">
        <w:trPr>
          <w:trHeight w:val="209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Fonts w:eastAsia="MS Mincho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eastAsia="SimSun"/>
                <w:b/>
                <w:color w:val="000000"/>
                <w:sz w:val="20"/>
                <w:szCs w:val="20"/>
                <w:lang w:val="en-US" w:eastAsia="zh-CN"/>
              </w:rPr>
              <w:t>Parameters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color w:val="000000"/>
                <w:sz w:val="20"/>
                <w:szCs w:val="20"/>
                <w:lang w:val="en-US" w:eastAsia="zh-CN"/>
              </w:rPr>
              <w:t>mMTC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SimSun"/>
                <w:b/>
                <w:color w:val="000000"/>
                <w:sz w:val="20"/>
                <w:szCs w:val="20"/>
                <w:lang w:val="en-US" w:eastAsia="zh-CN"/>
              </w:rPr>
              <w:t>URLLC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eastAsia="SimSun"/>
                <w:b/>
                <w:color w:val="000000"/>
                <w:sz w:val="20"/>
                <w:szCs w:val="20"/>
                <w:lang w:val="en-US" w:eastAsia="zh-CN"/>
              </w:rPr>
              <w:t>eMBB</w:t>
            </w:r>
            <w:proofErr w:type="spellEnd"/>
          </w:p>
        </w:tc>
      </w:tr>
      <w:tr w:rsidR="00033CFD">
        <w:trPr>
          <w:trHeight w:val="209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Carrier Frequency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700 MHz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700 MHz or 4 GHz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4 GHz</w:t>
            </w:r>
          </w:p>
        </w:tc>
      </w:tr>
      <w:tr w:rsidR="00033CFD">
        <w:trPr>
          <w:trHeight w:val="610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Waveform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CP-OFDM and DFT-s-OFDM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CP-OFDM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CP-OFDM</w:t>
            </w:r>
          </w:p>
        </w:tc>
      </w:tr>
      <w:tr w:rsidR="00033CFD">
        <w:trPr>
          <w:trHeight w:val="610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Channel coding</w:t>
            </w:r>
          </w:p>
        </w:tc>
        <w:tc>
          <w:tcPr>
            <w:tcW w:w="6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LDPC</w:t>
            </w:r>
          </w:p>
        </w:tc>
      </w:tr>
      <w:tr w:rsidR="00033CFD">
        <w:trPr>
          <w:trHeight w:val="209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Numerology (data part)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SCS = 15 kHz,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Case 1: SCS = 60 kHz, #OS = 7</w:t>
            </w:r>
          </w:p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Case 2: SCS = 30 kHz, #OS = 4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SCS = 15 kHz</w:t>
            </w:r>
          </w:p>
        </w:tc>
      </w:tr>
      <w:tr w:rsidR="00033CFD">
        <w:trPr>
          <w:trHeight w:val="752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  <w:highlight w:val="lightGray"/>
                <w:lang w:eastAsia="ja-JP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Allocated bandwidth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  <w:highlight w:val="lightGray"/>
                <w:lang w:eastAsia="zh-CN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6 RB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12 for SCS = 60 kHz</w:t>
            </w:r>
          </w:p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  <w:highlight w:val="lightGray"/>
                <w:lang w:eastAsia="ja-JP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24 for SCS = 30kHz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  <w:highlight w:val="lightGray"/>
                <w:lang w:eastAsia="ja-JP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12 RB</w:t>
            </w:r>
          </w:p>
        </w:tc>
      </w:tr>
      <w:tr w:rsidR="00033CFD">
        <w:trPr>
          <w:trHeight w:val="1124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  <w:highlight w:val="lightGray"/>
                <w:lang w:val="en-US" w:eastAsia="ja-JP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TBS per UE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  <w:highlight w:val="lightGray"/>
                <w:lang w:eastAsia="ja-JP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[10, 20, 40, 60, 75] </w:t>
            </w: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Bytes.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  <w:highlight w:val="lightGray"/>
                <w:lang w:eastAsia="ja-JP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[10,60] Bytes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  <w:highlight w:val="lightGray"/>
                <w:lang w:eastAsia="ja-JP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[20, 40, 80, 150] Bytes.</w:t>
            </w:r>
          </w:p>
        </w:tc>
      </w:tr>
      <w:tr w:rsidR="00033CFD">
        <w:trPr>
          <w:trHeight w:val="409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Target BLER for one transmission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0.10%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</w:tr>
      <w:tr w:rsidR="00033CFD">
        <w:trPr>
          <w:trHeight w:val="409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RS overhead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1/7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1/7 for #OS 7, and 1/4 for #OS 4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1/7</w:t>
            </w:r>
          </w:p>
        </w:tc>
      </w:tr>
      <w:tr w:rsidR="00033CFD">
        <w:trPr>
          <w:trHeight w:val="406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BS antenna configuration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  <w:t>2 and 4 Rx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  <w:t>4 Rx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  <w:t>4Rx</w:t>
            </w:r>
          </w:p>
        </w:tc>
      </w:tr>
      <w:tr w:rsidR="00033CFD">
        <w:trPr>
          <w:trHeight w:val="209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UE antenna configuration</w:t>
            </w:r>
          </w:p>
        </w:tc>
        <w:tc>
          <w:tcPr>
            <w:tcW w:w="6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1 </w:t>
            </w:r>
            <w:proofErr w:type="spellStart"/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Tx</w:t>
            </w:r>
            <w:proofErr w:type="spellEnd"/>
          </w:p>
        </w:tc>
      </w:tr>
      <w:tr w:rsidR="00033CFD">
        <w:trPr>
          <w:trHeight w:val="610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Propagation channel &amp; UE </w:t>
            </w: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velocity</w:t>
            </w:r>
          </w:p>
        </w:tc>
        <w:tc>
          <w:tcPr>
            <w:tcW w:w="6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TDL-A 30ns and TDL-C 300ns in TR38.901, 3km/h</w:t>
            </w:r>
          </w:p>
        </w:tc>
      </w:tr>
      <w:tr w:rsidR="00033CFD">
        <w:trPr>
          <w:trHeight w:val="409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Max number of HARQ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</w:tr>
      <w:tr w:rsidR="00033CFD">
        <w:trPr>
          <w:trHeight w:val="352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Channel estimation</w:t>
            </w:r>
          </w:p>
        </w:tc>
        <w:tc>
          <w:tcPr>
            <w:tcW w:w="6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Both ICE and RCE are considered</w:t>
            </w:r>
          </w:p>
        </w:tc>
      </w:tr>
      <w:tr w:rsidR="00033CFD">
        <w:trPr>
          <w:trHeight w:val="45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MA signature allocation (for data and DMRS)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  <w:t>Random/Fixed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  <w:t>Fixed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  <w:t>Random/Fixed</w:t>
            </w:r>
          </w:p>
        </w:tc>
      </w:tr>
      <w:tr w:rsidR="00033CFD">
        <w:trPr>
          <w:trHeight w:val="409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Distribution of avg. SNR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Both equal and </w:t>
            </w: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unequal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Equal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Both equal and unequal</w:t>
            </w:r>
          </w:p>
        </w:tc>
      </w:tr>
      <w:tr w:rsidR="00033CFD">
        <w:trPr>
          <w:trHeight w:val="409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Timing offset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Style w:val="CommentReference"/>
                <w:rFonts w:eastAsiaTheme="minorEastAsia" w:hint="eastAsia"/>
                <w:sz w:val="20"/>
                <w:szCs w:val="20"/>
                <w:lang w:eastAsia="zh-CN"/>
              </w:rPr>
              <w:t>0 or uni</w:t>
            </w:r>
            <w:r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  <w:t>form distribution between [0, 0.5/1.5NCP]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Style w:val="CommentReference"/>
                <w:rFonts w:eastAsiaTheme="minorEastAsia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Style w:val="CommentReference"/>
                <w:rFonts w:eastAsiaTheme="minorEastAsia" w:hint="eastAsia"/>
                <w:sz w:val="20"/>
                <w:szCs w:val="20"/>
                <w:lang w:eastAsia="zh-CN"/>
              </w:rPr>
              <w:t>0 or uni</w:t>
            </w:r>
            <w:r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  <w:t>form distribution between [0, 0.5/1.5NCP]</w:t>
            </w:r>
          </w:p>
        </w:tc>
      </w:tr>
      <w:tr w:rsidR="00033CFD">
        <w:trPr>
          <w:trHeight w:val="409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Frequency error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0 Hz or uniform distribution between -70 and 70 Hz for 700MHz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Style w:val="CommentReference"/>
                <w:rFonts w:eastAsiaTheme="minorEastAsia"/>
                <w:sz w:val="20"/>
                <w:szCs w:val="20"/>
                <w:lang w:eastAsia="zh-CN"/>
              </w:rPr>
              <w:t>0 Hz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0 Hz or uniform </w:t>
            </w: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distribution between -140 and 140 Hz for 4GHz</w:t>
            </w:r>
          </w:p>
        </w:tc>
      </w:tr>
      <w:tr w:rsidR="00033CFD">
        <w:trPr>
          <w:trHeight w:val="409"/>
          <w:jc w:val="center"/>
        </w:trPr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Traffic model </w:t>
            </w:r>
          </w:p>
        </w:tc>
        <w:tc>
          <w:tcPr>
            <w:tcW w:w="6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33CFD" w:rsidRDefault="00E811E3">
            <w:pPr>
              <w:snapToGrid w:val="0"/>
              <w:spacing w:after="0" w:line="240" w:lineRule="auto"/>
              <w:jc w:val="center"/>
              <w:textAlignment w:val="center"/>
              <w:rPr>
                <w:rStyle w:val="CommentReference"/>
                <w:sz w:val="20"/>
                <w:szCs w:val="20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Full buffer</w:t>
            </w:r>
          </w:p>
        </w:tc>
      </w:tr>
    </w:tbl>
    <w:p w:rsidR="00033CFD" w:rsidRDefault="00033CFD">
      <w:pPr>
        <w:pStyle w:val="2"/>
        <w:snapToGrid w:val="0"/>
        <w:spacing w:line="264" w:lineRule="auto"/>
        <w:ind w:firstLineChars="0" w:firstLine="0"/>
        <w:jc w:val="center"/>
        <w:rPr>
          <w:sz w:val="20"/>
          <w:szCs w:val="20"/>
        </w:rPr>
      </w:pPr>
    </w:p>
    <w:sectPr w:rsidR="00033CFD" w:rsidSect="00033CFD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D71DCE"/>
    <w:multiLevelType w:val="multilevel"/>
    <w:tmpl w:val="27D71DC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ziyang">
    <w15:presenceInfo w15:providerId="None" w15:userId="liziya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E227FF7"/>
    <w:rsid w:val="00000027"/>
    <w:rsid w:val="00017DA5"/>
    <w:rsid w:val="00023C60"/>
    <w:rsid w:val="000258B2"/>
    <w:rsid w:val="00033CFD"/>
    <w:rsid w:val="0005318F"/>
    <w:rsid w:val="00053191"/>
    <w:rsid w:val="0005518B"/>
    <w:rsid w:val="00073D2B"/>
    <w:rsid w:val="0008247F"/>
    <w:rsid w:val="00082AE2"/>
    <w:rsid w:val="00083751"/>
    <w:rsid w:val="0009730A"/>
    <w:rsid w:val="000A19B9"/>
    <w:rsid w:val="000B4720"/>
    <w:rsid w:val="000B679B"/>
    <w:rsid w:val="000C06BA"/>
    <w:rsid w:val="000C23D5"/>
    <w:rsid w:val="000C38B1"/>
    <w:rsid w:val="000E1AD4"/>
    <w:rsid w:val="00103E8D"/>
    <w:rsid w:val="0010792A"/>
    <w:rsid w:val="00110EB0"/>
    <w:rsid w:val="00111667"/>
    <w:rsid w:val="00125B26"/>
    <w:rsid w:val="001350D8"/>
    <w:rsid w:val="00141118"/>
    <w:rsid w:val="001448DE"/>
    <w:rsid w:val="00145F2A"/>
    <w:rsid w:val="0015175B"/>
    <w:rsid w:val="00164F21"/>
    <w:rsid w:val="001930BF"/>
    <w:rsid w:val="00197E90"/>
    <w:rsid w:val="001A08B7"/>
    <w:rsid w:val="001A1D79"/>
    <w:rsid w:val="001A2265"/>
    <w:rsid w:val="001A4152"/>
    <w:rsid w:val="001A78F2"/>
    <w:rsid w:val="001B1870"/>
    <w:rsid w:val="001C71FF"/>
    <w:rsid w:val="001D04EE"/>
    <w:rsid w:val="001D3A8B"/>
    <w:rsid w:val="001D6DEB"/>
    <w:rsid w:val="001E52E9"/>
    <w:rsid w:val="001F2107"/>
    <w:rsid w:val="002048AD"/>
    <w:rsid w:val="00205030"/>
    <w:rsid w:val="00205810"/>
    <w:rsid w:val="00215336"/>
    <w:rsid w:val="002205E1"/>
    <w:rsid w:val="002216A9"/>
    <w:rsid w:val="00227A5D"/>
    <w:rsid w:val="002402A3"/>
    <w:rsid w:val="00242E9B"/>
    <w:rsid w:val="002770A2"/>
    <w:rsid w:val="002832ED"/>
    <w:rsid w:val="002906E5"/>
    <w:rsid w:val="00292B00"/>
    <w:rsid w:val="00294E92"/>
    <w:rsid w:val="002A05AC"/>
    <w:rsid w:val="002A203A"/>
    <w:rsid w:val="002A4A5B"/>
    <w:rsid w:val="002C6875"/>
    <w:rsid w:val="002D5859"/>
    <w:rsid w:val="002E23B2"/>
    <w:rsid w:val="002E6D40"/>
    <w:rsid w:val="002F01B8"/>
    <w:rsid w:val="002F3BD1"/>
    <w:rsid w:val="002F5221"/>
    <w:rsid w:val="002F7811"/>
    <w:rsid w:val="002F7E87"/>
    <w:rsid w:val="0031095D"/>
    <w:rsid w:val="003143E9"/>
    <w:rsid w:val="00317B2D"/>
    <w:rsid w:val="00317F66"/>
    <w:rsid w:val="0032068C"/>
    <w:rsid w:val="0032092C"/>
    <w:rsid w:val="00324BA9"/>
    <w:rsid w:val="00335716"/>
    <w:rsid w:val="00337944"/>
    <w:rsid w:val="00355E18"/>
    <w:rsid w:val="00357241"/>
    <w:rsid w:val="003729D5"/>
    <w:rsid w:val="003730F3"/>
    <w:rsid w:val="0038197A"/>
    <w:rsid w:val="00382C77"/>
    <w:rsid w:val="003910C8"/>
    <w:rsid w:val="00391831"/>
    <w:rsid w:val="003A2432"/>
    <w:rsid w:val="003A46B6"/>
    <w:rsid w:val="003A52A4"/>
    <w:rsid w:val="003B592F"/>
    <w:rsid w:val="003B66F4"/>
    <w:rsid w:val="003B695A"/>
    <w:rsid w:val="003B7903"/>
    <w:rsid w:val="003D3B5F"/>
    <w:rsid w:val="003D45D4"/>
    <w:rsid w:val="003D789B"/>
    <w:rsid w:val="003E4537"/>
    <w:rsid w:val="003F7382"/>
    <w:rsid w:val="004026D1"/>
    <w:rsid w:val="00407B40"/>
    <w:rsid w:val="0041054F"/>
    <w:rsid w:val="00416EA9"/>
    <w:rsid w:val="00421CFA"/>
    <w:rsid w:val="00422CC2"/>
    <w:rsid w:val="0042326B"/>
    <w:rsid w:val="004240BE"/>
    <w:rsid w:val="004272C5"/>
    <w:rsid w:val="00433FFB"/>
    <w:rsid w:val="00434DEF"/>
    <w:rsid w:val="004405E4"/>
    <w:rsid w:val="0046234D"/>
    <w:rsid w:val="004633F5"/>
    <w:rsid w:val="004776B1"/>
    <w:rsid w:val="0049088F"/>
    <w:rsid w:val="004B0BB2"/>
    <w:rsid w:val="004D3AF4"/>
    <w:rsid w:val="004D7DD4"/>
    <w:rsid w:val="004E140B"/>
    <w:rsid w:val="004E7AED"/>
    <w:rsid w:val="004F17C6"/>
    <w:rsid w:val="004F4172"/>
    <w:rsid w:val="004F4793"/>
    <w:rsid w:val="004F7C50"/>
    <w:rsid w:val="00505C3B"/>
    <w:rsid w:val="00515D4C"/>
    <w:rsid w:val="005209C9"/>
    <w:rsid w:val="005262C4"/>
    <w:rsid w:val="00555AA5"/>
    <w:rsid w:val="00560C2E"/>
    <w:rsid w:val="00561EC9"/>
    <w:rsid w:val="005748B7"/>
    <w:rsid w:val="00575CCC"/>
    <w:rsid w:val="005833FE"/>
    <w:rsid w:val="005861C4"/>
    <w:rsid w:val="005A0B9E"/>
    <w:rsid w:val="005A4695"/>
    <w:rsid w:val="005A4E6C"/>
    <w:rsid w:val="005B0758"/>
    <w:rsid w:val="005B43DC"/>
    <w:rsid w:val="005C6C59"/>
    <w:rsid w:val="005D5256"/>
    <w:rsid w:val="005D6880"/>
    <w:rsid w:val="005E07F9"/>
    <w:rsid w:val="005F68B6"/>
    <w:rsid w:val="00605D9E"/>
    <w:rsid w:val="0060609A"/>
    <w:rsid w:val="00615CFB"/>
    <w:rsid w:val="00617D8E"/>
    <w:rsid w:val="0062602E"/>
    <w:rsid w:val="00635CC1"/>
    <w:rsid w:val="00646435"/>
    <w:rsid w:val="006467B8"/>
    <w:rsid w:val="00692911"/>
    <w:rsid w:val="006935B6"/>
    <w:rsid w:val="00696FB1"/>
    <w:rsid w:val="006A1BF4"/>
    <w:rsid w:val="006A5DA7"/>
    <w:rsid w:val="006D6659"/>
    <w:rsid w:val="006E491B"/>
    <w:rsid w:val="006F6CAA"/>
    <w:rsid w:val="007113B5"/>
    <w:rsid w:val="00721209"/>
    <w:rsid w:val="0072496B"/>
    <w:rsid w:val="00726C6D"/>
    <w:rsid w:val="00730E30"/>
    <w:rsid w:val="00741B70"/>
    <w:rsid w:val="00742303"/>
    <w:rsid w:val="00756069"/>
    <w:rsid w:val="00757D60"/>
    <w:rsid w:val="007706F5"/>
    <w:rsid w:val="00784347"/>
    <w:rsid w:val="00796716"/>
    <w:rsid w:val="0079766A"/>
    <w:rsid w:val="0079774F"/>
    <w:rsid w:val="007B21BD"/>
    <w:rsid w:val="007B26FD"/>
    <w:rsid w:val="007C4797"/>
    <w:rsid w:val="007C5AE9"/>
    <w:rsid w:val="007C638D"/>
    <w:rsid w:val="007C6ABC"/>
    <w:rsid w:val="007C7E46"/>
    <w:rsid w:val="007D2CEF"/>
    <w:rsid w:val="007D472F"/>
    <w:rsid w:val="007E1839"/>
    <w:rsid w:val="007F2176"/>
    <w:rsid w:val="007F5995"/>
    <w:rsid w:val="00803029"/>
    <w:rsid w:val="0080425B"/>
    <w:rsid w:val="00814951"/>
    <w:rsid w:val="00822D50"/>
    <w:rsid w:val="00830C7A"/>
    <w:rsid w:val="008338C9"/>
    <w:rsid w:val="0083452B"/>
    <w:rsid w:val="008445B8"/>
    <w:rsid w:val="00847E50"/>
    <w:rsid w:val="0085257D"/>
    <w:rsid w:val="00862FAB"/>
    <w:rsid w:val="00863565"/>
    <w:rsid w:val="00864BDA"/>
    <w:rsid w:val="008667B1"/>
    <w:rsid w:val="00874111"/>
    <w:rsid w:val="00881095"/>
    <w:rsid w:val="00884FAE"/>
    <w:rsid w:val="00885C63"/>
    <w:rsid w:val="008949E5"/>
    <w:rsid w:val="008A3739"/>
    <w:rsid w:val="008A483D"/>
    <w:rsid w:val="008A6D97"/>
    <w:rsid w:val="008B0014"/>
    <w:rsid w:val="008D2589"/>
    <w:rsid w:val="008D47C5"/>
    <w:rsid w:val="008F0D76"/>
    <w:rsid w:val="008F5973"/>
    <w:rsid w:val="009013C4"/>
    <w:rsid w:val="00904243"/>
    <w:rsid w:val="00907F0D"/>
    <w:rsid w:val="009128AC"/>
    <w:rsid w:val="00912ED5"/>
    <w:rsid w:val="009160F9"/>
    <w:rsid w:val="009375F5"/>
    <w:rsid w:val="00944B1C"/>
    <w:rsid w:val="0095446D"/>
    <w:rsid w:val="00955617"/>
    <w:rsid w:val="00966384"/>
    <w:rsid w:val="00976CF0"/>
    <w:rsid w:val="009815A9"/>
    <w:rsid w:val="00984C37"/>
    <w:rsid w:val="0098586E"/>
    <w:rsid w:val="009A17C8"/>
    <w:rsid w:val="009A79DC"/>
    <w:rsid w:val="009B509D"/>
    <w:rsid w:val="009B7F3A"/>
    <w:rsid w:val="009D3FBB"/>
    <w:rsid w:val="009D5A34"/>
    <w:rsid w:val="009D5E92"/>
    <w:rsid w:val="009E7A94"/>
    <w:rsid w:val="009F7934"/>
    <w:rsid w:val="00A06064"/>
    <w:rsid w:val="00A13864"/>
    <w:rsid w:val="00A21C3E"/>
    <w:rsid w:val="00A435DE"/>
    <w:rsid w:val="00A55DBF"/>
    <w:rsid w:val="00A57FEF"/>
    <w:rsid w:val="00A66D31"/>
    <w:rsid w:val="00A676C0"/>
    <w:rsid w:val="00A73978"/>
    <w:rsid w:val="00A74227"/>
    <w:rsid w:val="00A7451C"/>
    <w:rsid w:val="00A82EC5"/>
    <w:rsid w:val="00A836D1"/>
    <w:rsid w:val="00A83D1E"/>
    <w:rsid w:val="00A87C08"/>
    <w:rsid w:val="00A96739"/>
    <w:rsid w:val="00AA06DA"/>
    <w:rsid w:val="00AA6690"/>
    <w:rsid w:val="00AA6A54"/>
    <w:rsid w:val="00AC2635"/>
    <w:rsid w:val="00AD411D"/>
    <w:rsid w:val="00AD5476"/>
    <w:rsid w:val="00AD6110"/>
    <w:rsid w:val="00AD7488"/>
    <w:rsid w:val="00AD7AAB"/>
    <w:rsid w:val="00AE7B55"/>
    <w:rsid w:val="00AF1DD2"/>
    <w:rsid w:val="00AF4E57"/>
    <w:rsid w:val="00B005B5"/>
    <w:rsid w:val="00B01FDC"/>
    <w:rsid w:val="00B02C0A"/>
    <w:rsid w:val="00B03CD3"/>
    <w:rsid w:val="00B05B93"/>
    <w:rsid w:val="00B0736F"/>
    <w:rsid w:val="00B102D2"/>
    <w:rsid w:val="00B111F8"/>
    <w:rsid w:val="00B244F1"/>
    <w:rsid w:val="00B246F5"/>
    <w:rsid w:val="00B2765C"/>
    <w:rsid w:val="00B341ED"/>
    <w:rsid w:val="00B34AA7"/>
    <w:rsid w:val="00B376E4"/>
    <w:rsid w:val="00B42B6A"/>
    <w:rsid w:val="00B444F2"/>
    <w:rsid w:val="00B53C62"/>
    <w:rsid w:val="00B61956"/>
    <w:rsid w:val="00B70D65"/>
    <w:rsid w:val="00B746FB"/>
    <w:rsid w:val="00B74F70"/>
    <w:rsid w:val="00B84E2A"/>
    <w:rsid w:val="00B930A7"/>
    <w:rsid w:val="00BA79CA"/>
    <w:rsid w:val="00BB0868"/>
    <w:rsid w:val="00BB0F2E"/>
    <w:rsid w:val="00BB1D64"/>
    <w:rsid w:val="00BC2091"/>
    <w:rsid w:val="00BE1A2E"/>
    <w:rsid w:val="00BE318B"/>
    <w:rsid w:val="00BE40AF"/>
    <w:rsid w:val="00BE40F1"/>
    <w:rsid w:val="00BF01B1"/>
    <w:rsid w:val="00BF3786"/>
    <w:rsid w:val="00C007F5"/>
    <w:rsid w:val="00C06EC7"/>
    <w:rsid w:val="00C1467F"/>
    <w:rsid w:val="00C35DA6"/>
    <w:rsid w:val="00C421C3"/>
    <w:rsid w:val="00C5644E"/>
    <w:rsid w:val="00C7349D"/>
    <w:rsid w:val="00C8372E"/>
    <w:rsid w:val="00C842B2"/>
    <w:rsid w:val="00CA07F7"/>
    <w:rsid w:val="00CA4363"/>
    <w:rsid w:val="00CB2F58"/>
    <w:rsid w:val="00CC4C16"/>
    <w:rsid w:val="00CD0239"/>
    <w:rsid w:val="00CD6210"/>
    <w:rsid w:val="00CE1E5D"/>
    <w:rsid w:val="00CF3AFB"/>
    <w:rsid w:val="00CF3BC6"/>
    <w:rsid w:val="00D008C4"/>
    <w:rsid w:val="00D036E1"/>
    <w:rsid w:val="00D166A6"/>
    <w:rsid w:val="00D20379"/>
    <w:rsid w:val="00D227FC"/>
    <w:rsid w:val="00D24746"/>
    <w:rsid w:val="00D35447"/>
    <w:rsid w:val="00D37826"/>
    <w:rsid w:val="00D4125B"/>
    <w:rsid w:val="00D4368A"/>
    <w:rsid w:val="00D45A37"/>
    <w:rsid w:val="00D54DCC"/>
    <w:rsid w:val="00D647FA"/>
    <w:rsid w:val="00D6495A"/>
    <w:rsid w:val="00D712DC"/>
    <w:rsid w:val="00D72E7B"/>
    <w:rsid w:val="00D80332"/>
    <w:rsid w:val="00D846CD"/>
    <w:rsid w:val="00D901EA"/>
    <w:rsid w:val="00D93F96"/>
    <w:rsid w:val="00DB08A0"/>
    <w:rsid w:val="00DE2C0A"/>
    <w:rsid w:val="00DF1634"/>
    <w:rsid w:val="00E01A22"/>
    <w:rsid w:val="00E03041"/>
    <w:rsid w:val="00E03A87"/>
    <w:rsid w:val="00E03D24"/>
    <w:rsid w:val="00E1156B"/>
    <w:rsid w:val="00E3374D"/>
    <w:rsid w:val="00E43C3D"/>
    <w:rsid w:val="00E46749"/>
    <w:rsid w:val="00E47182"/>
    <w:rsid w:val="00E811E3"/>
    <w:rsid w:val="00E9209D"/>
    <w:rsid w:val="00E95600"/>
    <w:rsid w:val="00E97EB0"/>
    <w:rsid w:val="00EA48A5"/>
    <w:rsid w:val="00EA62C2"/>
    <w:rsid w:val="00EC5D20"/>
    <w:rsid w:val="00EC5DED"/>
    <w:rsid w:val="00ED1F0B"/>
    <w:rsid w:val="00EE23B1"/>
    <w:rsid w:val="00EE2944"/>
    <w:rsid w:val="00EE2A6B"/>
    <w:rsid w:val="00EE3CF9"/>
    <w:rsid w:val="00EE7CCD"/>
    <w:rsid w:val="00EF0758"/>
    <w:rsid w:val="00EF1746"/>
    <w:rsid w:val="00EF748A"/>
    <w:rsid w:val="00F06D6E"/>
    <w:rsid w:val="00F0748A"/>
    <w:rsid w:val="00F31E61"/>
    <w:rsid w:val="00F520B7"/>
    <w:rsid w:val="00F614BE"/>
    <w:rsid w:val="00F6432C"/>
    <w:rsid w:val="00F66734"/>
    <w:rsid w:val="00F67350"/>
    <w:rsid w:val="00F841AD"/>
    <w:rsid w:val="00F90574"/>
    <w:rsid w:val="00F950A7"/>
    <w:rsid w:val="00FB7E14"/>
    <w:rsid w:val="00FC6B9A"/>
    <w:rsid w:val="00FD13F9"/>
    <w:rsid w:val="00FE4F3C"/>
    <w:rsid w:val="00FF55E8"/>
    <w:rsid w:val="00FF5E43"/>
    <w:rsid w:val="00FF7D94"/>
    <w:rsid w:val="02D20040"/>
    <w:rsid w:val="048D6F11"/>
    <w:rsid w:val="0BF00F6E"/>
    <w:rsid w:val="0DD2258D"/>
    <w:rsid w:val="0E614BD6"/>
    <w:rsid w:val="1084363B"/>
    <w:rsid w:val="15284E56"/>
    <w:rsid w:val="1CDE7DCB"/>
    <w:rsid w:val="1E521B11"/>
    <w:rsid w:val="25C901A3"/>
    <w:rsid w:val="29402FAF"/>
    <w:rsid w:val="2E511CC1"/>
    <w:rsid w:val="312478EB"/>
    <w:rsid w:val="39392386"/>
    <w:rsid w:val="3E227FF7"/>
    <w:rsid w:val="4058513F"/>
    <w:rsid w:val="45EB15F8"/>
    <w:rsid w:val="47DD14DE"/>
    <w:rsid w:val="4B892ADC"/>
    <w:rsid w:val="4BB438BC"/>
    <w:rsid w:val="56176A7E"/>
    <w:rsid w:val="59B56EAD"/>
    <w:rsid w:val="5C752F72"/>
    <w:rsid w:val="682F73A8"/>
    <w:rsid w:val="6A455C1F"/>
    <w:rsid w:val="6DAD5053"/>
    <w:rsid w:val="70700F29"/>
    <w:rsid w:val="72A97C30"/>
    <w:rsid w:val="7F910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caption" w:semiHidden="0" w:qFormat="1"/>
    <w:lsdException w:name="annotation reference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iPriority="99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CFD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033CF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sz w:val="36"/>
      <w:szCs w:val="22"/>
      <w:lang w:val="en-GB" w:eastAsia="en-US"/>
    </w:rPr>
  </w:style>
  <w:style w:type="paragraph" w:styleId="Heading2">
    <w:name w:val="heading 2"/>
    <w:basedOn w:val="Normal"/>
    <w:next w:val="Normal"/>
    <w:unhideWhenUsed/>
    <w:qFormat/>
    <w:rsid w:val="00033CFD"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sid w:val="00033CFD"/>
    <w:rPr>
      <w:b/>
      <w:bCs/>
    </w:rPr>
  </w:style>
  <w:style w:type="paragraph" w:styleId="CommentText">
    <w:name w:val="annotation text"/>
    <w:basedOn w:val="Normal"/>
    <w:link w:val="CommentTextChar"/>
    <w:qFormat/>
    <w:rsid w:val="00033CFD"/>
    <w:pPr>
      <w:spacing w:line="240" w:lineRule="auto"/>
    </w:pPr>
    <w:rPr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033CFD"/>
    <w:rPr>
      <w:b/>
      <w:bCs/>
    </w:rPr>
  </w:style>
  <w:style w:type="paragraph" w:styleId="BalloonText">
    <w:name w:val="Balloon Text"/>
    <w:basedOn w:val="Normal"/>
    <w:link w:val="BalloonTextChar"/>
    <w:qFormat/>
    <w:rsid w:val="00033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33CFD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033CFD"/>
    <w:rPr>
      <w:sz w:val="16"/>
      <w:szCs w:val="16"/>
    </w:rPr>
  </w:style>
  <w:style w:type="table" w:styleId="TableGrid">
    <w:name w:val="Table Grid"/>
    <w:basedOn w:val="TableNormal"/>
    <w:qFormat/>
    <w:rsid w:val="00033CFD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P">
    <w:name w:val="FP"/>
    <w:basedOn w:val="Normal"/>
    <w:qFormat/>
    <w:rsid w:val="00033CFD"/>
    <w:pPr>
      <w:spacing w:after="0" w:line="240" w:lineRule="auto"/>
      <w:jc w:val="left"/>
    </w:pPr>
    <w:rPr>
      <w:sz w:val="20"/>
    </w:rPr>
  </w:style>
  <w:style w:type="table" w:customStyle="1" w:styleId="GridTable1Light1">
    <w:name w:val="Grid Table 1 Light1"/>
    <w:basedOn w:val="TableNormal"/>
    <w:uiPriority w:val="46"/>
    <w:qFormat/>
    <w:rsid w:val="00033CFD"/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">
    <w:name w:val="List Paragraph1"/>
    <w:basedOn w:val="Normal"/>
    <w:uiPriority w:val="99"/>
    <w:qFormat/>
    <w:rsid w:val="00033CFD"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LGTdoc">
    <w:name w:val="LGTdoc_본문"/>
    <w:basedOn w:val="Normal"/>
    <w:qFormat/>
    <w:rsid w:val="00033CFD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1">
    <w:name w:val="列出段落1"/>
    <w:basedOn w:val="Normal"/>
    <w:uiPriority w:val="34"/>
    <w:qFormat/>
    <w:rsid w:val="00033CF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2">
    <w:name w:val="列出段落2"/>
    <w:basedOn w:val="Normal"/>
    <w:uiPriority w:val="34"/>
    <w:qFormat/>
    <w:rsid w:val="00033CFD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Comments">
    <w:name w:val="Comments"/>
    <w:basedOn w:val="Normal"/>
    <w:qFormat/>
    <w:rsid w:val="00033CFD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033CF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33CFD"/>
    <w:rPr>
      <w:rFonts w:ascii="Times New Roman" w:eastAsia="Times New Roman" w:hAnsi="Times New Roman" w:cs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033CFD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033CFD"/>
    <w:rPr>
      <w:rFonts w:ascii="Arial" w:eastAsia="Times New Roman" w:hAnsi="Arial" w:cs="Times New Roman"/>
      <w:sz w:val="36"/>
      <w:szCs w:val="22"/>
      <w:lang w:val="en-GB" w:eastAsia="en-US"/>
    </w:rPr>
  </w:style>
  <w:style w:type="table" w:customStyle="1" w:styleId="TableGrid1">
    <w:name w:val="Table Grid1"/>
    <w:basedOn w:val="TableNormal"/>
    <w:qFormat/>
    <w:rsid w:val="00033CF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qFormat/>
    <w:rsid w:val="00033CFD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qFormat/>
    <w:rsid w:val="00033CFD"/>
  </w:style>
  <w:style w:type="paragraph" w:styleId="ListParagraph">
    <w:name w:val="List Paragraph"/>
    <w:basedOn w:val="Normal"/>
    <w:link w:val="ListParagraphChar"/>
    <w:uiPriority w:val="34"/>
    <w:qFormat/>
    <w:rsid w:val="00033CFD"/>
    <w:pPr>
      <w:overflowPunct/>
      <w:autoSpaceDE/>
      <w:autoSpaceDN/>
      <w:adjustRightInd/>
      <w:spacing w:after="0" w:line="240" w:lineRule="auto"/>
      <w:ind w:leftChars="400" w:left="840" w:hanging="720"/>
      <w:jc w:val="left"/>
      <w:textAlignment w:val="auto"/>
    </w:pPr>
    <w:rPr>
      <w:rFonts w:ascii="Times" w:eastAsia="Batang" w:hAnsi="Times"/>
      <w:sz w:val="20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033CFD"/>
    <w:rPr>
      <w:rFonts w:ascii="Times" w:eastAsia="Batang" w:hAnsi="Times"/>
      <w:szCs w:val="24"/>
      <w:lang w:val="en-GB" w:eastAsia="zh-CN"/>
    </w:rPr>
  </w:style>
  <w:style w:type="character" w:customStyle="1" w:styleId="TAHChar">
    <w:name w:val="TAH Char"/>
    <w:basedOn w:val="DefaultParagraphFont"/>
    <w:link w:val="TAH"/>
    <w:qFormat/>
    <w:rsid w:val="00033CFD"/>
    <w:rPr>
      <w:rFonts w:ascii="Arial" w:hAnsi="Arial"/>
      <w:b/>
      <w:sz w:val="18"/>
      <w:lang w:val="en-GB" w:eastAsia="ja-JP"/>
    </w:rPr>
  </w:style>
  <w:style w:type="paragraph" w:customStyle="1" w:styleId="TAH">
    <w:name w:val="TAH"/>
    <w:basedOn w:val="Normal"/>
    <w:link w:val="TAHChar"/>
    <w:qFormat/>
    <w:rsid w:val="00033CFD"/>
    <w:pPr>
      <w:keepNext/>
      <w:keepLines/>
      <w:spacing w:after="0"/>
      <w:jc w:val="center"/>
    </w:pPr>
    <w:rPr>
      <w:rFonts w:ascii="Arial" w:eastAsiaTheme="minorEastAsia" w:hAnsi="Arial"/>
      <w:b/>
      <w:sz w:val="18"/>
      <w:szCs w:val="20"/>
      <w:lang w:eastAsia="ja-JP"/>
    </w:rPr>
  </w:style>
  <w:style w:type="paragraph" w:customStyle="1" w:styleId="Reference">
    <w:name w:val="Reference"/>
    <w:basedOn w:val="Normal"/>
    <w:qFormat/>
    <w:rsid w:val="00033CFD"/>
    <w:pPr>
      <w:numPr>
        <w:numId w:val="2"/>
      </w:numPr>
      <w:ind w:right="-99"/>
    </w:pPr>
    <w:rPr>
      <w:rFonts w:eastAsia="MS Mincho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numbering" Target="numbering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FE0389-2E50-46FE-97E2-5F9D5620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1146</Words>
  <Characters>6537</Characters>
  <Application>Microsoft Office Word</Application>
  <DocSecurity>0</DocSecurity>
  <Lines>54</Lines>
  <Paragraphs>15</Paragraphs>
  <ScaleCrop>false</ScaleCrop>
  <Company>ZTE</Company>
  <LinksUpToDate>false</LinksUpToDate>
  <CharactersWithSpaces>7668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liziyang</dc:creator>
  <cp:lastModifiedBy>Yifei Yuan</cp:lastModifiedBy>
  <cp:revision>25</cp:revision>
  <dcterms:created xsi:type="dcterms:W3CDTF">2018-09-29T04:25:00Z</dcterms:created>
  <dcterms:modified xsi:type="dcterms:W3CDTF">2018-11-03T05:31:00Z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